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7E78E">
      <w:pPr>
        <w:rPr>
          <w:rFonts w:hint="eastAsia" w:ascii="方正仿宋_GBK" w:hAnsi="方正仿宋_GBK" w:eastAsia="方正仿宋_GBK" w:cs="方正仿宋_GBK"/>
          <w:color w:val="auto"/>
          <w:sz w:val="22"/>
          <w:szCs w:val="22"/>
          <w:highlight w:val="none"/>
        </w:rPr>
      </w:pPr>
    </w:p>
    <w:p w14:paraId="0FDE5557">
      <w:pPr>
        <w:rPr>
          <w:rFonts w:hint="eastAsia" w:ascii="方正仿宋_GBK" w:hAnsi="方正仿宋_GBK" w:eastAsia="方正仿宋_GBK" w:cs="方正仿宋_GBK"/>
          <w:color w:val="auto"/>
          <w:sz w:val="22"/>
          <w:szCs w:val="22"/>
          <w:highlight w:val="none"/>
        </w:rPr>
      </w:pPr>
      <w:r>
        <w:rPr>
          <w:rFonts w:hint="eastAsia" w:ascii="方正仿宋_GBK" w:hAnsi="方正仿宋_GBK" w:eastAsia="方正仿宋_GBK" w:cs="方正仿宋_GBK"/>
          <w:color w:val="auto"/>
          <w:sz w:val="22"/>
          <w:szCs w:val="22"/>
          <w:highlight w:val="none"/>
        </w:rPr>
        <w:t>.</w:t>
      </w:r>
    </w:p>
    <w:p w14:paraId="13F19220">
      <w:pPr>
        <w:adjustRightInd w:val="0"/>
        <w:snapToGrid w:val="0"/>
        <w:spacing w:line="360" w:lineRule="auto"/>
        <w:jc w:val="center"/>
        <w:rPr>
          <w:rFonts w:hint="eastAsia" w:ascii="方正仿宋_GBK" w:hAnsi="方正仿宋_GBK" w:eastAsia="方正仿宋_GBK" w:cs="方正仿宋_GBK"/>
          <w:b/>
          <w:color w:val="auto"/>
          <w:spacing w:val="28"/>
          <w:sz w:val="52"/>
          <w:szCs w:val="48"/>
          <w:highlight w:val="none"/>
          <w:lang w:val="en-US" w:eastAsia="zh-CN"/>
        </w:rPr>
      </w:pPr>
    </w:p>
    <w:p w14:paraId="0689E7F5">
      <w:pPr>
        <w:pStyle w:val="47"/>
        <w:adjustRightInd w:val="0"/>
        <w:snapToGrid w:val="0"/>
        <w:rPr>
          <w:rFonts w:hint="eastAsia" w:ascii="方正仿宋_GBK" w:hAnsi="方正仿宋_GBK" w:eastAsia="方正仿宋_GBK" w:cs="方正仿宋_GBK"/>
          <w:b/>
          <w:color w:val="auto"/>
          <w:spacing w:val="28"/>
          <w:sz w:val="52"/>
          <w:szCs w:val="48"/>
          <w:highlight w:val="none"/>
          <w:lang w:val="en-US" w:eastAsia="zh-CN"/>
        </w:rPr>
      </w:pPr>
      <w:r>
        <w:rPr>
          <w:rFonts w:hint="eastAsia"/>
        </w:rPr>
        <w:t>综合管理平台服务项目</w:t>
      </w:r>
    </w:p>
    <w:p w14:paraId="3F84B59F">
      <w:pPr>
        <w:pStyle w:val="47"/>
        <w:adjustRightInd w:val="0"/>
        <w:snapToGrid w:val="0"/>
        <w:rPr>
          <w:rFonts w:hint="eastAsia" w:ascii="方正仿宋_GBK" w:hAnsi="方正仿宋_GBK" w:eastAsia="方正仿宋_GBK" w:cs="方正仿宋_GBK"/>
          <w:b/>
          <w:snapToGrid w:val="0"/>
          <w:color w:val="auto"/>
          <w:sz w:val="52"/>
          <w:szCs w:val="52"/>
          <w:highlight w:val="none"/>
        </w:rPr>
      </w:pPr>
      <w:r>
        <w:rPr>
          <w:rFonts w:hint="eastAsia"/>
          <w:lang w:val="en-US" w:eastAsia="zh-CN"/>
        </w:rPr>
        <w:t>询比采购</w:t>
      </w:r>
      <w:r>
        <w:rPr>
          <w:rFonts w:hint="eastAsia"/>
        </w:rPr>
        <w:t>公告</w:t>
      </w:r>
    </w:p>
    <w:p w14:paraId="6A23C852">
      <w:pPr>
        <w:adjustRightInd w:val="0"/>
        <w:snapToGrid w:val="0"/>
      </w:pPr>
    </w:p>
    <w:p w14:paraId="315B14B2">
      <w:pPr>
        <w:adjustRightInd w:val="0"/>
        <w:snapToGrid w:val="0"/>
        <w:spacing w:line="360" w:lineRule="auto"/>
        <w:ind w:firstLine="1446" w:firstLineChars="200"/>
        <w:jc w:val="center"/>
        <w:rPr>
          <w:rFonts w:hint="eastAsia" w:ascii="方正仿宋_GBK" w:hAnsi="方正仿宋_GBK" w:eastAsia="方正仿宋_GBK" w:cs="方正仿宋_GBK"/>
          <w:b/>
          <w:snapToGrid w:val="0"/>
          <w:color w:val="auto"/>
          <w:sz w:val="72"/>
          <w:highlight w:val="none"/>
        </w:rPr>
      </w:pPr>
    </w:p>
    <w:p w14:paraId="06189C36">
      <w:pPr>
        <w:adjustRightInd w:val="0"/>
        <w:snapToGrid w:val="0"/>
        <w:spacing w:line="360" w:lineRule="auto"/>
        <w:ind w:firstLine="1446" w:firstLineChars="200"/>
        <w:jc w:val="center"/>
        <w:rPr>
          <w:rFonts w:hint="eastAsia" w:ascii="方正仿宋_GBK" w:hAnsi="方正仿宋_GBK" w:eastAsia="方正仿宋_GBK" w:cs="方正仿宋_GBK"/>
          <w:b/>
          <w:snapToGrid w:val="0"/>
          <w:color w:val="auto"/>
          <w:sz w:val="72"/>
          <w:highlight w:val="none"/>
        </w:rPr>
      </w:pPr>
    </w:p>
    <w:p w14:paraId="2EFC5862">
      <w:pPr>
        <w:adjustRightInd w:val="0"/>
        <w:snapToGrid w:val="0"/>
        <w:spacing w:line="360" w:lineRule="auto"/>
        <w:ind w:firstLine="1446" w:firstLineChars="200"/>
        <w:jc w:val="center"/>
        <w:rPr>
          <w:rFonts w:hint="eastAsia" w:ascii="方正仿宋_GBK" w:hAnsi="方正仿宋_GBK" w:eastAsia="方正仿宋_GBK" w:cs="方正仿宋_GBK"/>
          <w:b/>
          <w:snapToGrid w:val="0"/>
          <w:color w:val="auto"/>
          <w:sz w:val="72"/>
          <w:highlight w:val="none"/>
        </w:rPr>
      </w:pPr>
    </w:p>
    <w:p w14:paraId="5C04C90B">
      <w:pPr>
        <w:adjustRightInd w:val="0"/>
        <w:snapToGrid w:val="0"/>
        <w:spacing w:line="480" w:lineRule="auto"/>
        <w:jc w:val="center"/>
        <w:rPr>
          <w:rFonts w:hint="eastAsia" w:ascii="方正仿宋_GBK" w:hAnsi="方正仿宋_GBK" w:eastAsia="方正仿宋_GBK" w:cs="方正仿宋_GBK"/>
          <w:b/>
          <w:bCs/>
          <w:snapToGrid w:val="0"/>
          <w:color w:val="auto"/>
          <w:sz w:val="28"/>
          <w:highlight w:val="none"/>
        </w:rPr>
      </w:pPr>
      <w:r>
        <w:rPr>
          <w:rFonts w:hint="eastAsia" w:ascii="方正仿宋_GBK" w:hAnsi="方正仿宋_GBK" w:eastAsia="方正仿宋_GBK" w:cs="方正仿宋_GBK"/>
          <w:b/>
          <w:bCs/>
          <w:snapToGrid w:val="0"/>
          <w:color w:val="auto"/>
          <w:sz w:val="30"/>
          <w:highlight w:val="none"/>
        </w:rPr>
        <w:t>采   购  人：</w:t>
      </w:r>
      <w:r>
        <w:rPr>
          <w:rFonts w:hint="eastAsia" w:ascii="方正仿宋_GBK" w:hAnsi="方正仿宋_GBK" w:eastAsia="方正仿宋_GBK" w:cs="方正仿宋_GBK"/>
          <w:b/>
          <w:bCs/>
          <w:snapToGrid w:val="0"/>
          <w:color w:val="auto"/>
          <w:sz w:val="30"/>
          <w:highlight w:val="none"/>
          <w:lang w:val="en-US" w:eastAsia="zh-CN"/>
        </w:rPr>
        <w:t>扬州数慧城建科技有限责任公司</w:t>
      </w:r>
    </w:p>
    <w:p w14:paraId="1741D58D">
      <w:pPr>
        <w:spacing w:line="460" w:lineRule="exact"/>
        <w:jc w:val="center"/>
        <w:rPr>
          <w:rFonts w:hint="eastAsia" w:ascii="方正仿宋_GBK" w:hAnsi="方正仿宋_GBK" w:eastAsia="方正仿宋_GBK" w:cs="方正仿宋_GBK"/>
          <w:color w:val="auto"/>
          <w:sz w:val="30"/>
          <w:highlight w:val="none"/>
          <w:u w:val="single"/>
        </w:rPr>
      </w:pPr>
      <w:r>
        <w:rPr>
          <w:rFonts w:hint="eastAsia" w:ascii="方正仿宋_GBK" w:hAnsi="方正仿宋_GBK" w:eastAsia="方正仿宋_GBK" w:cs="方正仿宋_GBK"/>
          <w:b/>
          <w:bCs/>
          <w:snapToGrid w:val="0"/>
          <w:color w:val="auto"/>
          <w:sz w:val="30"/>
          <w:highlight w:val="none"/>
        </w:rPr>
        <w:t xml:space="preserve">发 </w:t>
      </w:r>
      <w:r>
        <w:rPr>
          <w:rFonts w:hint="eastAsia" w:ascii="方正仿宋_GBK" w:hAnsi="方正仿宋_GBK" w:eastAsia="方正仿宋_GBK" w:cs="方正仿宋_GBK"/>
          <w:b/>
          <w:bCs/>
          <w:snapToGrid w:val="0"/>
          <w:color w:val="auto"/>
          <w:sz w:val="30"/>
          <w:highlight w:val="none"/>
          <w:lang w:val="en-US" w:eastAsia="zh-CN"/>
        </w:rPr>
        <w:t xml:space="preserve"> </w:t>
      </w:r>
      <w:r>
        <w:rPr>
          <w:rFonts w:hint="eastAsia" w:ascii="方正仿宋_GBK" w:hAnsi="方正仿宋_GBK" w:eastAsia="方正仿宋_GBK" w:cs="方正仿宋_GBK"/>
          <w:b/>
          <w:bCs/>
          <w:snapToGrid w:val="0"/>
          <w:color w:val="auto"/>
          <w:sz w:val="30"/>
          <w:highlight w:val="none"/>
        </w:rPr>
        <w:t xml:space="preserve">放 </w:t>
      </w:r>
      <w:r>
        <w:rPr>
          <w:rFonts w:hint="eastAsia" w:ascii="方正仿宋_GBK" w:hAnsi="方正仿宋_GBK" w:eastAsia="方正仿宋_GBK" w:cs="方正仿宋_GBK"/>
          <w:b/>
          <w:bCs/>
          <w:snapToGrid w:val="0"/>
          <w:color w:val="auto"/>
          <w:sz w:val="30"/>
          <w:highlight w:val="none"/>
          <w:lang w:val="en-US" w:eastAsia="zh-CN"/>
        </w:rPr>
        <w:t xml:space="preserve"> </w:t>
      </w:r>
      <w:r>
        <w:rPr>
          <w:rFonts w:hint="eastAsia" w:ascii="方正仿宋_GBK" w:hAnsi="方正仿宋_GBK" w:eastAsia="方正仿宋_GBK" w:cs="方正仿宋_GBK"/>
          <w:b/>
          <w:bCs/>
          <w:snapToGrid w:val="0"/>
          <w:color w:val="auto"/>
          <w:sz w:val="30"/>
          <w:highlight w:val="none"/>
        </w:rPr>
        <w:t xml:space="preserve">日 </w:t>
      </w:r>
      <w:r>
        <w:rPr>
          <w:rFonts w:hint="eastAsia" w:ascii="方正仿宋_GBK" w:hAnsi="方正仿宋_GBK" w:eastAsia="方正仿宋_GBK" w:cs="方正仿宋_GBK"/>
          <w:b/>
          <w:bCs/>
          <w:snapToGrid w:val="0"/>
          <w:color w:val="auto"/>
          <w:sz w:val="30"/>
          <w:highlight w:val="none"/>
          <w:lang w:val="en-US" w:eastAsia="zh-CN"/>
        </w:rPr>
        <w:t xml:space="preserve"> </w:t>
      </w:r>
      <w:r>
        <w:rPr>
          <w:rFonts w:hint="eastAsia" w:ascii="方正仿宋_GBK" w:hAnsi="方正仿宋_GBK" w:eastAsia="方正仿宋_GBK" w:cs="方正仿宋_GBK"/>
          <w:b/>
          <w:bCs/>
          <w:snapToGrid w:val="0"/>
          <w:color w:val="auto"/>
          <w:sz w:val="30"/>
          <w:highlight w:val="none"/>
        </w:rPr>
        <w:t xml:space="preserve">期： </w:t>
      </w:r>
      <w:r>
        <w:rPr>
          <w:rFonts w:hint="eastAsia" w:ascii="方正仿宋_GBK" w:hAnsi="方正仿宋_GBK" w:eastAsia="方正仿宋_GBK" w:cs="方正仿宋_GBK"/>
          <w:b/>
          <w:bCs/>
          <w:snapToGrid w:val="0"/>
          <w:color w:val="auto"/>
          <w:sz w:val="30"/>
          <w:highlight w:val="none"/>
          <w:u w:val="single"/>
        </w:rPr>
        <w:t xml:space="preserve"> 20</w:t>
      </w:r>
      <w:r>
        <w:rPr>
          <w:rFonts w:hint="eastAsia" w:ascii="方正仿宋_GBK" w:hAnsi="方正仿宋_GBK" w:eastAsia="方正仿宋_GBK" w:cs="方正仿宋_GBK"/>
          <w:b/>
          <w:bCs/>
          <w:snapToGrid w:val="0"/>
          <w:color w:val="auto"/>
          <w:sz w:val="30"/>
          <w:highlight w:val="none"/>
          <w:u w:val="single"/>
          <w:lang w:val="en-US" w:eastAsia="zh-CN"/>
        </w:rPr>
        <w:t>26</w:t>
      </w:r>
      <w:r>
        <w:rPr>
          <w:rFonts w:hint="eastAsia" w:ascii="方正仿宋_GBK" w:hAnsi="方正仿宋_GBK" w:eastAsia="方正仿宋_GBK" w:cs="方正仿宋_GBK"/>
          <w:b/>
          <w:bCs/>
          <w:snapToGrid w:val="0"/>
          <w:color w:val="auto"/>
          <w:sz w:val="30"/>
          <w:highlight w:val="none"/>
        </w:rPr>
        <w:t>年</w:t>
      </w:r>
      <w:r>
        <w:rPr>
          <w:rFonts w:hint="eastAsia" w:ascii="方正仿宋_GBK" w:hAnsi="方正仿宋_GBK" w:eastAsia="方正仿宋_GBK" w:cs="方正仿宋_GBK"/>
          <w:b/>
          <w:bCs/>
          <w:snapToGrid w:val="0"/>
          <w:color w:val="auto"/>
          <w:sz w:val="30"/>
          <w:highlight w:val="none"/>
          <w:u w:val="single"/>
          <w:lang w:val="en-US" w:eastAsia="zh-CN"/>
        </w:rPr>
        <w:t>11</w:t>
      </w:r>
      <w:r>
        <w:rPr>
          <w:rFonts w:hint="eastAsia" w:ascii="方正仿宋_GBK" w:hAnsi="方正仿宋_GBK" w:eastAsia="方正仿宋_GBK" w:cs="方正仿宋_GBK"/>
          <w:b/>
          <w:bCs/>
          <w:snapToGrid w:val="0"/>
          <w:color w:val="auto"/>
          <w:sz w:val="30"/>
          <w:highlight w:val="none"/>
        </w:rPr>
        <w:t>月</w:t>
      </w:r>
      <w:r>
        <w:rPr>
          <w:rFonts w:hint="eastAsia" w:ascii="方正仿宋_GBK" w:hAnsi="方正仿宋_GBK" w:eastAsia="方正仿宋_GBK" w:cs="方正仿宋_GBK"/>
          <w:b/>
          <w:bCs/>
          <w:snapToGrid w:val="0"/>
          <w:color w:val="auto"/>
          <w:sz w:val="30"/>
          <w:highlight w:val="none"/>
          <w:u w:val="single"/>
          <w:lang w:val="en-US" w:eastAsia="zh-CN"/>
        </w:rPr>
        <w:t>3</w:t>
      </w:r>
      <w:r>
        <w:rPr>
          <w:rFonts w:hint="eastAsia" w:ascii="方正仿宋_GBK" w:hAnsi="方正仿宋_GBK" w:eastAsia="方正仿宋_GBK" w:cs="方正仿宋_GBK"/>
          <w:b/>
          <w:bCs/>
          <w:snapToGrid w:val="0"/>
          <w:color w:val="auto"/>
          <w:sz w:val="30"/>
          <w:highlight w:val="none"/>
        </w:rPr>
        <w:t>日</w:t>
      </w:r>
    </w:p>
    <w:p w14:paraId="01EAA8AA">
      <w:pPr>
        <w:pStyle w:val="60"/>
        <w:rPr>
          <w:rFonts w:hint="eastAsia" w:ascii="方正仿宋_GBK" w:hAnsi="方正仿宋_GBK" w:eastAsia="方正仿宋_GBK" w:cs="方正仿宋_GBK"/>
          <w:highlight w:val="none"/>
        </w:rPr>
      </w:pPr>
    </w:p>
    <w:p w14:paraId="7FCD0A24">
      <w:pPr>
        <w:rPr>
          <w:rFonts w:hint="eastAsia"/>
        </w:rPr>
      </w:pPr>
    </w:p>
    <w:p w14:paraId="03BD8077">
      <w:pPr>
        <w:pStyle w:val="2"/>
        <w:jc w:val="center"/>
        <w:rPr>
          <w:rFonts w:hint="eastAsia" w:ascii="方正仿宋_GBK" w:hAnsi="方正仿宋_GBK" w:eastAsia="方正仿宋_GBK" w:cs="方正仿宋_GBK"/>
          <w:highlight w:val="none"/>
        </w:rPr>
      </w:pPr>
      <w:r>
        <w:rPr>
          <w:rFonts w:hint="eastAsia"/>
        </w:rPr>
        <w:t>前  附  表</w:t>
      </w:r>
    </w:p>
    <w:tbl>
      <w:tblPr>
        <w:tblStyle w:val="4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826"/>
        <w:gridCol w:w="6466"/>
      </w:tblGrid>
      <w:tr w14:paraId="39A8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59438590">
            <w:pPr>
              <w:spacing w:line="240" w:lineRule="auto"/>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序号</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060AB9A3">
            <w:pPr>
              <w:spacing w:line="240" w:lineRule="auto"/>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    目</w:t>
            </w:r>
          </w:p>
        </w:tc>
        <w:tc>
          <w:tcPr>
            <w:tcW w:w="3569" w:type="pct"/>
            <w:tcBorders>
              <w:top w:val="single" w:color="auto" w:sz="4" w:space="0"/>
              <w:left w:val="single" w:color="auto" w:sz="4" w:space="0"/>
              <w:bottom w:val="single" w:color="auto" w:sz="4" w:space="0"/>
              <w:right w:val="single" w:color="auto" w:sz="4" w:space="0"/>
            </w:tcBorders>
            <w:noWrap w:val="0"/>
            <w:vAlign w:val="center"/>
          </w:tcPr>
          <w:p w14:paraId="76AFC3EB">
            <w:pPr>
              <w:spacing w:line="240" w:lineRule="auto"/>
              <w:ind w:firstLine="2760" w:firstLineChars="115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内    容</w:t>
            </w:r>
          </w:p>
        </w:tc>
      </w:tr>
      <w:tr w14:paraId="0933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78B6D0D2">
            <w:pPr>
              <w:spacing w:line="240" w:lineRule="auto"/>
              <w:jc w:val="both"/>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616E0D44">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项目名称</w:t>
            </w:r>
          </w:p>
        </w:tc>
        <w:tc>
          <w:tcPr>
            <w:tcW w:w="3569" w:type="pct"/>
            <w:tcBorders>
              <w:top w:val="single" w:color="auto" w:sz="4" w:space="0"/>
              <w:left w:val="single" w:color="auto" w:sz="4" w:space="0"/>
              <w:bottom w:val="single" w:color="auto" w:sz="4" w:space="0"/>
              <w:right w:val="single" w:color="auto" w:sz="4" w:space="0"/>
            </w:tcBorders>
            <w:noWrap w:val="0"/>
            <w:vAlign w:val="center"/>
          </w:tcPr>
          <w:p w14:paraId="027A6BF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b w:val="0"/>
                <w:bCs w:val="0"/>
                <w:color w:val="auto"/>
                <w:sz w:val="24"/>
                <w:szCs w:val="24"/>
                <w:highlight w:val="none"/>
                <w:lang w:val="en-US" w:eastAsia="zh-CN"/>
              </w:rPr>
            </w:pPr>
            <w:bookmarkStart w:id="4" w:name="_GoBack"/>
            <w:r>
              <w:rPr>
                <w:rFonts w:hint="eastAsia" w:ascii="方正仿宋_GBK" w:hAnsi="方正仿宋_GBK" w:eastAsia="方正仿宋_GBK" w:cs="方正仿宋_GBK"/>
                <w:b w:val="0"/>
                <w:bCs w:val="0"/>
                <w:color w:val="auto"/>
                <w:sz w:val="24"/>
                <w:szCs w:val="24"/>
                <w:highlight w:val="none"/>
                <w:lang w:val="en-US" w:eastAsia="zh-CN"/>
              </w:rPr>
              <w:t>综合管理平台服务项目</w:t>
            </w:r>
            <w:bookmarkEnd w:id="4"/>
          </w:p>
        </w:tc>
      </w:tr>
      <w:tr w14:paraId="44AB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540FCB79">
            <w:pPr>
              <w:spacing w:line="240" w:lineRule="auto"/>
              <w:jc w:val="both"/>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val="en-US" w:eastAsia="zh-CN"/>
              </w:rPr>
              <w:t>2</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2153920B">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采购方式</w:t>
            </w:r>
          </w:p>
        </w:tc>
        <w:tc>
          <w:tcPr>
            <w:tcW w:w="3569" w:type="pct"/>
            <w:tcBorders>
              <w:top w:val="single" w:color="auto" w:sz="4" w:space="0"/>
              <w:left w:val="single" w:color="auto" w:sz="4" w:space="0"/>
              <w:bottom w:val="single" w:color="auto" w:sz="4" w:space="0"/>
              <w:right w:val="single" w:color="auto" w:sz="4" w:space="0"/>
            </w:tcBorders>
            <w:noWrap w:val="0"/>
            <w:vAlign w:val="center"/>
          </w:tcPr>
          <w:p w14:paraId="64404E4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询比采购</w:t>
            </w:r>
          </w:p>
        </w:tc>
      </w:tr>
      <w:tr w14:paraId="5197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3F0DFF37">
            <w:pPr>
              <w:spacing w:line="240" w:lineRule="auto"/>
              <w:jc w:val="both"/>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val="en-US" w:eastAsia="zh-CN"/>
              </w:rPr>
              <w:t>3</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2500F092">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采购内容</w:t>
            </w:r>
          </w:p>
        </w:tc>
        <w:tc>
          <w:tcPr>
            <w:tcW w:w="3569" w:type="pct"/>
            <w:tcBorders>
              <w:top w:val="single" w:color="auto" w:sz="4" w:space="0"/>
              <w:left w:val="single" w:color="auto" w:sz="4" w:space="0"/>
              <w:bottom w:val="single" w:color="auto" w:sz="4" w:space="0"/>
              <w:right w:val="single" w:color="auto" w:sz="4" w:space="0"/>
            </w:tcBorders>
            <w:noWrap w:val="0"/>
            <w:vAlign w:val="center"/>
          </w:tcPr>
          <w:p w14:paraId="3613CA1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综合服务一体化平台软件开发实施、固定资产盘点服务、培训服务、接口对接服务（详见第三章 项目需求）</w:t>
            </w:r>
          </w:p>
        </w:tc>
      </w:tr>
      <w:tr w14:paraId="43B6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44EC41D3">
            <w:pPr>
              <w:spacing w:line="240" w:lineRule="auto"/>
              <w:jc w:val="both"/>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val="en-US" w:eastAsia="zh-CN"/>
              </w:rPr>
              <w:t>4</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64CC5145">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项目周期</w:t>
            </w:r>
          </w:p>
        </w:tc>
        <w:tc>
          <w:tcPr>
            <w:tcW w:w="3569" w:type="pct"/>
            <w:tcBorders>
              <w:top w:val="single" w:color="auto" w:sz="4" w:space="0"/>
              <w:left w:val="single" w:color="auto" w:sz="4" w:space="0"/>
              <w:bottom w:val="single" w:color="auto" w:sz="4" w:space="0"/>
              <w:right w:val="single" w:color="auto" w:sz="4" w:space="0"/>
            </w:tcBorders>
            <w:noWrap w:val="0"/>
            <w:vAlign w:val="center"/>
          </w:tcPr>
          <w:p w14:paraId="0959F63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合同签订后30天内完成平台开发、实施、全功能上线并通过验收；验收后提供不低于1年免费平台技术运维；平台上线后成交供应商驻场服务不少于45天</w:t>
            </w:r>
          </w:p>
        </w:tc>
      </w:tr>
      <w:tr w14:paraId="6674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624EF796">
            <w:pPr>
              <w:spacing w:line="240" w:lineRule="auto"/>
              <w:jc w:val="both"/>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val="en-US" w:eastAsia="zh-CN"/>
              </w:rPr>
              <w:t>5</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681C06D7">
            <w:pPr>
              <w:spacing w:line="240" w:lineRule="auto"/>
              <w:jc w:val="both"/>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采购单位</w:t>
            </w:r>
          </w:p>
        </w:tc>
        <w:tc>
          <w:tcPr>
            <w:tcW w:w="3569" w:type="pct"/>
            <w:tcBorders>
              <w:top w:val="single" w:color="auto" w:sz="4" w:space="0"/>
              <w:left w:val="single" w:color="auto" w:sz="4" w:space="0"/>
              <w:bottom w:val="single" w:color="auto" w:sz="4" w:space="0"/>
              <w:right w:val="single" w:color="auto" w:sz="4" w:space="0"/>
            </w:tcBorders>
            <w:noWrap w:val="0"/>
            <w:vAlign w:val="center"/>
          </w:tcPr>
          <w:p w14:paraId="648194D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扬州数慧城建科技有限责任公司</w:t>
            </w:r>
          </w:p>
        </w:tc>
      </w:tr>
      <w:tr w14:paraId="3CC2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4E1515D3">
            <w:pPr>
              <w:spacing w:line="240" w:lineRule="auto"/>
              <w:jc w:val="both"/>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val="en-US" w:eastAsia="zh-CN"/>
              </w:rPr>
              <w:t>6</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523F26BF">
            <w:pPr>
              <w:spacing w:line="240" w:lineRule="auto"/>
              <w:jc w:val="both"/>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eastAsia="zh-CN"/>
              </w:rPr>
              <w:t>报价方式</w:t>
            </w:r>
          </w:p>
        </w:tc>
        <w:tc>
          <w:tcPr>
            <w:tcW w:w="3569" w:type="pct"/>
            <w:tcBorders>
              <w:top w:val="single" w:color="auto" w:sz="4" w:space="0"/>
              <w:left w:val="single" w:color="auto" w:sz="4" w:space="0"/>
              <w:bottom w:val="single" w:color="auto" w:sz="4" w:space="0"/>
              <w:right w:val="single" w:color="auto" w:sz="4" w:space="0"/>
            </w:tcBorders>
            <w:noWrap w:val="0"/>
            <w:vAlign w:val="center"/>
          </w:tcPr>
          <w:p w14:paraId="5B1D901E">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密封报价</w:t>
            </w:r>
          </w:p>
        </w:tc>
      </w:tr>
      <w:tr w14:paraId="17F7C809">
        <w:tblPrEx>
          <w:tblCellMar>
            <w:top w:w="0" w:type="dxa"/>
            <w:left w:w="108" w:type="dxa"/>
            <w:bottom w:w="0" w:type="dxa"/>
            <w:right w:w="108" w:type="dxa"/>
          </w:tblCellMar>
        </w:tblPrEx>
        <w:trPr>
          <w:trHeight w:val="668"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4AF2AE17">
            <w:pPr>
              <w:spacing w:line="240" w:lineRule="auto"/>
              <w:jc w:val="both"/>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7</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050460F3">
            <w:pPr>
              <w:spacing w:line="240" w:lineRule="auto"/>
              <w:jc w:val="both"/>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4"/>
                <w:szCs w:val="24"/>
                <w:highlight w:val="none"/>
                <w:lang w:eastAsia="zh-CN"/>
              </w:rPr>
              <w:t>报价</w:t>
            </w:r>
            <w:r>
              <w:rPr>
                <w:rFonts w:hint="eastAsia" w:ascii="方正仿宋_GBK" w:hAnsi="方正仿宋_GBK" w:eastAsia="方正仿宋_GBK" w:cs="方正仿宋_GBK"/>
                <w:color w:val="auto"/>
                <w:sz w:val="24"/>
                <w:szCs w:val="24"/>
                <w:highlight w:val="none"/>
              </w:rPr>
              <w:t>有效期</w:t>
            </w:r>
          </w:p>
        </w:tc>
        <w:tc>
          <w:tcPr>
            <w:tcW w:w="3569" w:type="pct"/>
            <w:tcBorders>
              <w:top w:val="single" w:color="auto" w:sz="4" w:space="0"/>
              <w:left w:val="single" w:color="auto" w:sz="4" w:space="0"/>
              <w:bottom w:val="single" w:color="auto" w:sz="4" w:space="0"/>
              <w:right w:val="single" w:color="auto" w:sz="4" w:space="0"/>
            </w:tcBorders>
            <w:noWrap w:val="0"/>
            <w:vAlign w:val="center"/>
          </w:tcPr>
          <w:p w14:paraId="5886A76D">
            <w:pPr>
              <w:pStyle w:val="45"/>
              <w:keepNext w:val="0"/>
              <w:keepLines w:val="0"/>
              <w:widowControl/>
              <w:suppressLineNumbers w:val="0"/>
              <w:spacing w:before="0" w:beforeAutospacing="0" w:after="0" w:afterAutospacing="0" w:line="240" w:lineRule="auto"/>
              <w:ind w:left="0" w:right="0"/>
              <w:jc w:val="both"/>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自响应文件提交截止日起3天内有效，若成交，则有效期顺延至合同全部履约完毕</w:t>
            </w:r>
          </w:p>
        </w:tc>
      </w:tr>
      <w:tr w14:paraId="4910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5F61D3EF">
            <w:pPr>
              <w:spacing w:line="240" w:lineRule="auto"/>
              <w:jc w:val="both"/>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8</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75A7F282">
            <w:pPr>
              <w:spacing w:line="240" w:lineRule="auto"/>
              <w:jc w:val="both"/>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响应文件提交</w:t>
            </w:r>
            <w:r>
              <w:rPr>
                <w:rFonts w:hint="eastAsia" w:ascii="方正仿宋_GBK" w:hAnsi="方正仿宋_GBK" w:eastAsia="方正仿宋_GBK" w:cs="方正仿宋_GBK"/>
                <w:color w:val="auto"/>
                <w:sz w:val="24"/>
                <w:szCs w:val="24"/>
                <w:highlight w:val="none"/>
              </w:rPr>
              <w:t>截止时间</w:t>
            </w:r>
          </w:p>
        </w:tc>
        <w:tc>
          <w:tcPr>
            <w:tcW w:w="3569" w:type="pct"/>
            <w:tcBorders>
              <w:top w:val="single" w:color="auto" w:sz="4" w:space="0"/>
              <w:left w:val="single" w:color="auto" w:sz="4" w:space="0"/>
              <w:bottom w:val="single" w:color="auto" w:sz="4" w:space="0"/>
              <w:right w:val="single" w:color="auto" w:sz="4" w:space="0"/>
            </w:tcBorders>
            <w:noWrap w:val="0"/>
            <w:vAlign w:val="center"/>
          </w:tcPr>
          <w:p w14:paraId="4173E429">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2026年11月6日 下午15:00  （北京时间）</w:t>
            </w:r>
          </w:p>
        </w:tc>
      </w:tr>
      <w:tr w14:paraId="208A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0107BB73">
            <w:pPr>
              <w:spacing w:line="240" w:lineRule="auto"/>
              <w:jc w:val="both"/>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9</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48F46E11">
            <w:pPr>
              <w:spacing w:line="240" w:lineRule="auto"/>
              <w:jc w:val="both"/>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响应</w:t>
            </w:r>
            <w:r>
              <w:rPr>
                <w:rFonts w:hint="eastAsia" w:ascii="方正仿宋_GBK" w:hAnsi="方正仿宋_GBK" w:eastAsia="方正仿宋_GBK" w:cs="方正仿宋_GBK"/>
                <w:color w:val="auto"/>
                <w:sz w:val="24"/>
                <w:szCs w:val="24"/>
                <w:highlight w:val="none"/>
              </w:rPr>
              <w:t>文件递交</w:t>
            </w:r>
          </w:p>
        </w:tc>
        <w:tc>
          <w:tcPr>
            <w:tcW w:w="3569" w:type="pct"/>
            <w:tcBorders>
              <w:top w:val="single" w:color="auto" w:sz="4" w:space="0"/>
              <w:left w:val="single" w:color="auto" w:sz="4" w:space="0"/>
              <w:bottom w:val="single" w:color="auto" w:sz="4" w:space="0"/>
            </w:tcBorders>
            <w:noWrap w:val="0"/>
            <w:vAlign w:val="center"/>
          </w:tcPr>
          <w:p w14:paraId="04090F70">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扬州市史可法路58号鸿福家园32幢   扬州数慧城建科技有限责任公司 </w:t>
            </w:r>
          </w:p>
        </w:tc>
      </w:tr>
      <w:tr w14:paraId="0C84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7874CE5A">
            <w:pPr>
              <w:spacing w:line="240" w:lineRule="auto"/>
              <w:jc w:val="both"/>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10</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646A8E26">
            <w:pPr>
              <w:spacing w:line="240" w:lineRule="auto"/>
              <w:jc w:val="both"/>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响应</w:t>
            </w:r>
            <w:r>
              <w:rPr>
                <w:rFonts w:hint="eastAsia" w:ascii="方正仿宋_GBK" w:hAnsi="方正仿宋_GBK" w:eastAsia="方正仿宋_GBK" w:cs="方正仿宋_GBK"/>
                <w:color w:val="auto"/>
                <w:sz w:val="24"/>
                <w:szCs w:val="24"/>
                <w:highlight w:val="none"/>
              </w:rPr>
              <w:t>文件</w:t>
            </w:r>
            <w:r>
              <w:rPr>
                <w:rFonts w:hint="eastAsia" w:ascii="方正仿宋_GBK" w:hAnsi="方正仿宋_GBK" w:eastAsia="方正仿宋_GBK" w:cs="方正仿宋_GBK"/>
                <w:color w:val="auto"/>
                <w:sz w:val="24"/>
                <w:szCs w:val="24"/>
                <w:highlight w:val="none"/>
                <w:lang w:val="en-US" w:eastAsia="zh-CN"/>
              </w:rPr>
              <w:t>份数</w:t>
            </w:r>
          </w:p>
        </w:tc>
        <w:tc>
          <w:tcPr>
            <w:tcW w:w="3569" w:type="pct"/>
            <w:tcBorders>
              <w:top w:val="single" w:color="auto" w:sz="4" w:space="0"/>
              <w:left w:val="single" w:color="auto" w:sz="4" w:space="0"/>
              <w:bottom w:val="single" w:color="auto" w:sz="4" w:space="0"/>
            </w:tcBorders>
            <w:noWrap w:val="0"/>
            <w:vAlign w:val="center"/>
          </w:tcPr>
          <w:p w14:paraId="54026A66">
            <w:pPr>
              <w:pStyle w:val="45"/>
              <w:keepNext w:val="0"/>
              <w:keepLines w:val="0"/>
              <w:widowControl/>
              <w:suppressLineNumbers w:val="0"/>
              <w:spacing w:before="0" w:beforeAutospacing="0" w:after="0" w:afterAutospacing="0" w:line="240" w:lineRule="auto"/>
              <w:ind w:left="0" w:right="0"/>
              <w:jc w:val="both"/>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i w:val="0"/>
                <w:iCs w:val="0"/>
                <w:color w:val="000000"/>
                <w:spacing w:val="0"/>
                <w:w w:val="100"/>
                <w:sz w:val="24"/>
                <w:szCs w:val="24"/>
                <w:vertAlign w:val="baseline"/>
              </w:rPr>
              <w:t>一式叁份（壹份正本、贰份副本），另附电子响应文件1份，以U盘形式递交；每份响应文件须清楚标明“正本”或“副本”字样。</w:t>
            </w:r>
          </w:p>
        </w:tc>
      </w:tr>
      <w:tr w14:paraId="39BF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422" w:type="pct"/>
            <w:tcBorders>
              <w:top w:val="single" w:color="auto" w:sz="4" w:space="0"/>
              <w:left w:val="single" w:color="auto" w:sz="8" w:space="0"/>
              <w:bottom w:val="single" w:color="auto" w:sz="4" w:space="0"/>
              <w:right w:val="single" w:color="auto" w:sz="4" w:space="0"/>
            </w:tcBorders>
            <w:noWrap w:val="0"/>
            <w:vAlign w:val="center"/>
          </w:tcPr>
          <w:p w14:paraId="250BCDD5">
            <w:pPr>
              <w:spacing w:line="240" w:lineRule="auto"/>
              <w:jc w:val="both"/>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11</w:t>
            </w:r>
          </w:p>
        </w:tc>
        <w:tc>
          <w:tcPr>
            <w:tcW w:w="1008" w:type="pct"/>
            <w:tcBorders>
              <w:top w:val="single" w:color="auto" w:sz="4" w:space="0"/>
              <w:left w:val="single" w:color="auto" w:sz="8" w:space="0"/>
              <w:bottom w:val="single" w:color="auto" w:sz="4" w:space="0"/>
              <w:right w:val="single" w:color="auto" w:sz="4" w:space="0"/>
            </w:tcBorders>
            <w:noWrap w:val="0"/>
            <w:vAlign w:val="center"/>
          </w:tcPr>
          <w:p w14:paraId="190ED06C">
            <w:pPr>
              <w:spacing w:line="240" w:lineRule="auto"/>
              <w:jc w:val="both"/>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开启响应文件时间</w:t>
            </w:r>
          </w:p>
        </w:tc>
        <w:tc>
          <w:tcPr>
            <w:tcW w:w="3569" w:type="pct"/>
            <w:tcBorders>
              <w:top w:val="single" w:color="auto" w:sz="4" w:space="0"/>
              <w:left w:val="single" w:color="auto" w:sz="8" w:space="0"/>
              <w:bottom w:val="single" w:color="auto" w:sz="4" w:space="0"/>
            </w:tcBorders>
            <w:noWrap w:val="0"/>
            <w:vAlign w:val="center"/>
          </w:tcPr>
          <w:p w14:paraId="44648932">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2026年11月6日 下午15:00  （北京时间）</w:t>
            </w:r>
          </w:p>
        </w:tc>
      </w:tr>
      <w:tr w14:paraId="6F986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422" w:type="pct"/>
            <w:tcBorders>
              <w:top w:val="single" w:color="auto" w:sz="4" w:space="0"/>
              <w:left w:val="single" w:color="auto" w:sz="8" w:space="0"/>
              <w:bottom w:val="single" w:color="auto" w:sz="4" w:space="0"/>
              <w:right w:val="single" w:color="auto" w:sz="4" w:space="0"/>
            </w:tcBorders>
            <w:noWrap w:val="0"/>
            <w:vAlign w:val="center"/>
          </w:tcPr>
          <w:p w14:paraId="7B537A43">
            <w:pPr>
              <w:spacing w:line="240" w:lineRule="auto"/>
              <w:jc w:val="both"/>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12</w:t>
            </w:r>
          </w:p>
        </w:tc>
        <w:tc>
          <w:tcPr>
            <w:tcW w:w="1008" w:type="pct"/>
            <w:tcBorders>
              <w:top w:val="single" w:color="auto" w:sz="4" w:space="0"/>
              <w:left w:val="single" w:color="auto" w:sz="8" w:space="0"/>
              <w:bottom w:val="single" w:color="auto" w:sz="4" w:space="0"/>
              <w:right w:val="single" w:color="auto" w:sz="4" w:space="0"/>
            </w:tcBorders>
            <w:noWrap w:val="0"/>
            <w:vAlign w:val="center"/>
          </w:tcPr>
          <w:p w14:paraId="11667963">
            <w:pPr>
              <w:spacing w:line="240" w:lineRule="auto"/>
              <w:jc w:val="both"/>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密封装订要求</w:t>
            </w:r>
          </w:p>
        </w:tc>
        <w:tc>
          <w:tcPr>
            <w:tcW w:w="3569" w:type="pct"/>
            <w:tcBorders>
              <w:top w:val="single" w:color="auto" w:sz="4" w:space="0"/>
              <w:left w:val="single" w:color="auto" w:sz="8" w:space="0"/>
              <w:bottom w:val="single" w:color="auto" w:sz="4" w:space="0"/>
              <w:right w:val="single" w:color="auto" w:sz="4" w:space="0"/>
            </w:tcBorders>
            <w:noWrap w:val="0"/>
            <w:vAlign w:val="center"/>
          </w:tcPr>
          <w:p w14:paraId="3A737EF5">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1、封袋标注采购人名称、项目名称、供应商全称；</w:t>
            </w:r>
          </w:p>
          <w:p w14:paraId="4B74D8AE">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2、所有报价文件都必须在封袋及营业执照复印件加盖报价单位公章。</w:t>
            </w:r>
          </w:p>
        </w:tc>
      </w:tr>
      <w:tr w14:paraId="1B3A3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34374D4A">
            <w:pPr>
              <w:spacing w:line="240" w:lineRule="auto"/>
              <w:jc w:val="both"/>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13</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6855299">
            <w:pPr>
              <w:spacing w:line="240" w:lineRule="auto"/>
              <w:jc w:val="both"/>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评审办法</w:t>
            </w:r>
          </w:p>
        </w:tc>
        <w:tc>
          <w:tcPr>
            <w:tcW w:w="3569" w:type="pct"/>
            <w:tcBorders>
              <w:top w:val="single" w:color="auto" w:sz="4" w:space="0"/>
              <w:left w:val="single" w:color="auto" w:sz="4" w:space="0"/>
              <w:bottom w:val="single" w:color="auto" w:sz="4" w:space="0"/>
            </w:tcBorders>
            <w:shd w:val="clear" w:color="auto" w:fill="auto"/>
            <w:noWrap w:val="0"/>
            <w:vAlign w:val="center"/>
          </w:tcPr>
          <w:p w14:paraId="48AC1B12">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综合评分法</w:t>
            </w:r>
          </w:p>
        </w:tc>
      </w:tr>
      <w:tr w14:paraId="75C0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2F125E4D">
            <w:pPr>
              <w:spacing w:line="240" w:lineRule="auto"/>
              <w:jc w:val="both"/>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14</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589C0549">
            <w:pPr>
              <w:spacing w:line="240" w:lineRule="auto"/>
              <w:jc w:val="both"/>
              <w:rPr>
                <w:rFonts w:hint="eastAsia" w:ascii="方正仿宋_GBK" w:hAnsi="方正仿宋_GBK" w:eastAsia="方正仿宋_GBK" w:cs="方正仿宋_GBK"/>
                <w:b w:val="0"/>
                <w:bCs w:val="0"/>
                <w:color w:val="auto"/>
                <w:sz w:val="24"/>
                <w:szCs w:val="24"/>
                <w:highlight w:val="none"/>
              </w:rPr>
            </w:pPr>
            <w:r>
              <w:rPr>
                <w:rFonts w:hint="eastAsia" w:ascii="方正仿宋_GBK" w:hAnsi="方正仿宋_GBK" w:eastAsia="方正仿宋_GBK" w:cs="方正仿宋_GBK"/>
                <w:b w:val="0"/>
                <w:bCs w:val="0"/>
                <w:color w:val="auto"/>
                <w:spacing w:val="1"/>
                <w:w w:val="88"/>
                <w:kern w:val="0"/>
                <w:sz w:val="24"/>
                <w:szCs w:val="24"/>
                <w:highlight w:val="none"/>
                <w:fitText w:val="1920" w:id="915896236"/>
              </w:rPr>
              <w:t>合同结算</w:t>
            </w:r>
            <w:r>
              <w:rPr>
                <w:rFonts w:hint="eastAsia" w:ascii="方正仿宋_GBK" w:hAnsi="方正仿宋_GBK" w:eastAsia="方正仿宋_GBK" w:cs="方正仿宋_GBK"/>
                <w:b w:val="0"/>
                <w:bCs w:val="0"/>
                <w:color w:val="auto"/>
                <w:spacing w:val="1"/>
                <w:w w:val="88"/>
                <w:kern w:val="0"/>
                <w:sz w:val="24"/>
                <w:szCs w:val="24"/>
                <w:highlight w:val="none"/>
                <w:fitText w:val="1920" w:id="915896236"/>
                <w:lang w:val="en-US" w:eastAsia="zh-CN"/>
              </w:rPr>
              <w:t>及付款方</w:t>
            </w:r>
            <w:r>
              <w:rPr>
                <w:rFonts w:hint="eastAsia" w:ascii="方正仿宋_GBK" w:hAnsi="方正仿宋_GBK" w:eastAsia="方正仿宋_GBK" w:cs="方正仿宋_GBK"/>
                <w:b w:val="0"/>
                <w:bCs w:val="0"/>
                <w:color w:val="auto"/>
                <w:spacing w:val="7"/>
                <w:w w:val="88"/>
                <w:kern w:val="0"/>
                <w:sz w:val="24"/>
                <w:szCs w:val="24"/>
                <w:highlight w:val="none"/>
                <w:fitText w:val="1920" w:id="915896236"/>
                <w:lang w:val="en-US" w:eastAsia="zh-CN"/>
              </w:rPr>
              <w:t>式</w:t>
            </w:r>
          </w:p>
        </w:tc>
        <w:tc>
          <w:tcPr>
            <w:tcW w:w="3569" w:type="pct"/>
            <w:tcBorders>
              <w:top w:val="single" w:color="auto" w:sz="4" w:space="0"/>
              <w:left w:val="single" w:color="auto" w:sz="4" w:space="0"/>
              <w:bottom w:val="single" w:color="auto" w:sz="4" w:space="0"/>
            </w:tcBorders>
            <w:noWrap w:val="0"/>
            <w:vAlign w:val="center"/>
          </w:tcPr>
          <w:p w14:paraId="47C74D9E">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1、本项目以人民币结算，乙方收款前须开具相应增值税专用发票。款项分两期支付：项目验收合格且系统稳定运行满30日后支付合同总价的90%；1年免费维护期满且无遗留问题后支付剩余10%尾款。</w:t>
            </w:r>
          </w:p>
          <w:p w14:paraId="344F6B3B">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2、当国家法定增值税税率发生变更，甲乙双方均以不含税价格保持不变为基准，对增值税税额进行相应调整。</w:t>
            </w:r>
          </w:p>
        </w:tc>
      </w:tr>
      <w:tr w14:paraId="3953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422" w:type="pct"/>
            <w:tcBorders>
              <w:top w:val="single" w:color="auto" w:sz="4" w:space="0"/>
              <w:left w:val="single" w:color="auto" w:sz="4" w:space="0"/>
              <w:bottom w:val="single" w:color="auto" w:sz="4" w:space="0"/>
              <w:right w:val="single" w:color="auto" w:sz="4" w:space="0"/>
            </w:tcBorders>
            <w:noWrap w:val="0"/>
            <w:vAlign w:val="center"/>
          </w:tcPr>
          <w:p w14:paraId="466158A3">
            <w:pPr>
              <w:spacing w:line="240" w:lineRule="auto"/>
              <w:jc w:val="both"/>
              <w:rPr>
                <w:rFonts w:hint="default"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15</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26BB3121">
            <w:pPr>
              <w:spacing w:line="240" w:lineRule="auto"/>
              <w:jc w:val="both"/>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rPr>
              <w:t>其他</w:t>
            </w:r>
          </w:p>
        </w:tc>
        <w:tc>
          <w:tcPr>
            <w:tcW w:w="3569" w:type="pct"/>
            <w:tcBorders>
              <w:top w:val="single" w:color="auto" w:sz="4" w:space="0"/>
              <w:left w:val="single" w:color="auto" w:sz="4" w:space="0"/>
              <w:bottom w:val="single" w:color="auto" w:sz="4" w:space="0"/>
            </w:tcBorders>
            <w:noWrap w:val="0"/>
            <w:vAlign w:val="center"/>
          </w:tcPr>
          <w:p w14:paraId="55E03C99">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1、下文中与“前附表”内容不一致的，以“前附表”为准；</w:t>
            </w:r>
          </w:p>
          <w:p w14:paraId="0A05E95C">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2、本询比文件的解释权属于扬州数慧城建科技有限责任公司</w:t>
            </w:r>
          </w:p>
          <w:p w14:paraId="4AA060D2">
            <w:pPr>
              <w:spacing w:line="240" w:lineRule="auto"/>
              <w:rPr>
                <w:rFonts w:hint="default"/>
                <w:lang w:val="en-US" w:eastAsia="zh-CN"/>
              </w:rPr>
            </w:pPr>
            <w:r>
              <w:rPr>
                <w:rFonts w:hint="eastAsia" w:ascii="方正仿宋_GBK" w:hAnsi="方正仿宋_GBK" w:eastAsia="方正仿宋_GBK" w:cs="方正仿宋_GBK"/>
                <w:b w:val="0"/>
                <w:bCs w:val="0"/>
                <w:color w:val="auto"/>
                <w:sz w:val="24"/>
                <w:szCs w:val="24"/>
                <w:highlight w:val="none"/>
                <w:lang w:val="en-US" w:eastAsia="zh-CN"/>
              </w:rPr>
              <w:t>3、询比文件获取：本询比采购文件在采购人公司网站发布，供应商可自行下载。</w:t>
            </w:r>
          </w:p>
        </w:tc>
      </w:tr>
      <w:tr w14:paraId="20CA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42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1C37237">
            <w:pPr>
              <w:spacing w:line="240" w:lineRule="auto"/>
              <w:jc w:val="both"/>
              <w:rPr>
                <w:rFonts w:hint="default"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sz w:val="24"/>
                <w:szCs w:val="24"/>
                <w:highlight w:val="none"/>
                <w:lang w:val="en-US" w:eastAsia="zh-CN"/>
              </w:rPr>
              <w:t>16</w:t>
            </w:r>
          </w:p>
        </w:tc>
        <w:tc>
          <w:tcPr>
            <w:tcW w:w="1008"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64B7EC7">
            <w:pPr>
              <w:spacing w:line="240" w:lineRule="auto"/>
              <w:jc w:val="both"/>
              <w:rPr>
                <w:rFonts w:hint="eastAsia" w:ascii="方正仿宋_GBK" w:hAnsi="方正仿宋_GBK" w:eastAsia="方正仿宋_GBK" w:cs="方正仿宋_GBK"/>
                <w:color w:val="auto"/>
                <w:kern w:val="2"/>
                <w:sz w:val="24"/>
                <w:szCs w:val="24"/>
                <w:highlight w:val="none"/>
                <w:lang w:val="en-US" w:eastAsia="zh-CN" w:bidi="ar-SA"/>
              </w:rPr>
            </w:pPr>
            <w:r>
              <w:rPr>
                <w:rFonts w:hint="eastAsia" w:ascii="方正仿宋_GBK" w:hAnsi="方正仿宋_GBK" w:eastAsia="方正仿宋_GBK" w:cs="方正仿宋_GBK"/>
                <w:color w:val="auto"/>
                <w:sz w:val="24"/>
                <w:szCs w:val="24"/>
                <w:highlight w:val="none"/>
              </w:rPr>
              <w:t>联系方式</w:t>
            </w:r>
          </w:p>
        </w:tc>
        <w:tc>
          <w:tcPr>
            <w:tcW w:w="3569" w:type="pct"/>
            <w:tcBorders>
              <w:top w:val="single" w:color="auto" w:sz="4" w:space="0"/>
              <w:left w:val="single" w:color="auto" w:sz="4" w:space="0"/>
              <w:bottom w:val="single" w:color="auto" w:sz="4" w:space="0"/>
            </w:tcBorders>
            <w:shd w:val="clear" w:color="auto" w:fill="auto"/>
            <w:noWrap w:val="0"/>
            <w:vAlign w:val="center"/>
          </w:tcPr>
          <w:p w14:paraId="4C3E6F91">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采购人：扬州数慧城建科技有限责任公司</w:t>
            </w:r>
          </w:p>
          <w:p w14:paraId="4A848549">
            <w:pPr>
              <w:spacing w:line="240" w:lineRule="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地  址：扬州市史可法路58号鸿福家园32幢</w:t>
            </w:r>
          </w:p>
          <w:p w14:paraId="7DFF1109">
            <w:pPr>
              <w:spacing w:line="240" w:lineRule="auto"/>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联系人：禹女士          联系人：18005273170</w:t>
            </w:r>
          </w:p>
        </w:tc>
      </w:tr>
    </w:tbl>
    <w:p w14:paraId="079F22C3">
      <w:pPr>
        <w:rPr>
          <w:rFonts w:hint="eastAsia" w:ascii="方正仿宋_GBK" w:hAnsi="方正仿宋_GBK" w:eastAsia="方正仿宋_GBK" w:cs="方正仿宋_GBK"/>
          <w:highlight w:val="none"/>
        </w:rPr>
        <w:sectPr>
          <w:pgSz w:w="11907" w:h="16840"/>
          <w:pgMar w:top="1701" w:right="1474" w:bottom="1701" w:left="1587" w:header="850" w:footer="1304" w:gutter="0"/>
          <w:cols w:space="425" w:num="1"/>
          <w:docGrid w:linePitch="305" w:charSpace="0"/>
        </w:sectPr>
      </w:pPr>
    </w:p>
    <w:p w14:paraId="3A920931">
      <w:pPr>
        <w:pStyle w:val="2"/>
        <w:rPr>
          <w:rFonts w:hint="eastAsia" w:ascii="方正仿宋_GBK" w:hAnsi="方正仿宋_GBK" w:eastAsia="方正仿宋_GBK" w:cs="方正仿宋_GBK"/>
          <w:b w:val="0"/>
          <w:bCs w:val="0"/>
          <w:color w:val="auto"/>
          <w:sz w:val="24"/>
          <w:szCs w:val="24"/>
          <w:highlight w:val="none"/>
          <w:lang w:val="en-US" w:eastAsia="zh-CN"/>
        </w:rPr>
      </w:pPr>
      <w:r>
        <w:rPr>
          <w:rFonts w:hint="eastAsia"/>
        </w:rPr>
        <w:t>一、项目基本情况</w:t>
      </w:r>
    </w:p>
    <w:p w14:paraId="72B9FC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1、项目编号：AQGL-2026-RJ-003</w:t>
      </w:r>
    </w:p>
    <w:p w14:paraId="2CD7BB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2、项目名称：某公司综合管理平台服务项目</w:t>
      </w:r>
    </w:p>
    <w:p w14:paraId="5F160BA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3、采购方式：询比采购</w:t>
      </w:r>
    </w:p>
    <w:p w14:paraId="22219A2C">
      <w:pPr>
        <w:spacing w:line="360" w:lineRule="auto"/>
        <w:ind w:firstLine="480" w:firstLineChars="200"/>
        <w:rPr>
          <w:rFonts w:hint="eastAsia" w:ascii="宋体" w:hAnsi="宋体" w:cs="宋体"/>
          <w:b/>
          <w:bCs/>
          <w:color w:val="FF0000"/>
        </w:rPr>
      </w:pPr>
      <w:r>
        <w:rPr>
          <w:rFonts w:hint="eastAsia" w:ascii="方正仿宋_GBK" w:hAnsi="方正仿宋_GBK" w:eastAsia="方正仿宋_GBK" w:cs="方正仿宋_GBK"/>
          <w:b w:val="0"/>
          <w:bCs w:val="0"/>
          <w:color w:val="auto"/>
          <w:sz w:val="24"/>
          <w:szCs w:val="24"/>
          <w:highlight w:val="none"/>
          <w:lang w:val="en-US" w:eastAsia="zh-CN"/>
        </w:rPr>
        <w:t>4、最高限价：32万元（含税价），超过最高限价视为无效投标</w:t>
      </w:r>
    </w:p>
    <w:p w14:paraId="68DD2E0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6、采购需求：具体详见第三章 项目需求。</w:t>
      </w:r>
    </w:p>
    <w:p w14:paraId="54BF9C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7、合同履行期限：合同签订后30天内完成平台开发、实施、全功能上线并通过验收。验收后提供不低于1年免费平台技术运维；平台上线后成交供应商驻场服务不少于45天，配合完成资产盘点、数据整理录入、台账核对纠错。</w:t>
      </w:r>
    </w:p>
    <w:p w14:paraId="2742108F">
      <w:pPr>
        <w:pStyle w:val="2"/>
        <w:spacing w:line="240" w:lineRule="auto"/>
        <w:rPr>
          <w:rFonts w:hint="eastAsia"/>
        </w:rPr>
      </w:pPr>
      <w:r>
        <w:rPr>
          <w:rFonts w:hint="eastAsia"/>
        </w:rPr>
        <w:t>二、供应商资格要求</w:t>
      </w:r>
    </w:p>
    <w:p w14:paraId="433FC3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供应商参加本次采购活动应当具备下列条件，并按要求提供相应证明材料（加盖供应商公章，原件备查）：</w:t>
      </w:r>
    </w:p>
    <w:p w14:paraId="5B57B6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（一）询比响应函（原件）；</w:t>
      </w:r>
    </w:p>
    <w:p w14:paraId="08FA9C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（二）资格声明（原件）；</w:t>
      </w:r>
    </w:p>
    <w:p w14:paraId="56516C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三）法定代表人身份证明或授权委托书：若法定代表人参加询比的，须提供本人身份证复印件加盖供应商公章（原件备查）；若授权代表参加的，须提供《法人授权书》原件和授权代表身份证复印件加盖供应商公章（原件备查）；</w:t>
      </w:r>
    </w:p>
    <w:p w14:paraId="7A2E3E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（四）营业执照副本（复印件加盖供应商公章）；</w:t>
      </w:r>
    </w:p>
    <w:p w14:paraId="247561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（五）依法缴纳职工社会保障资金的证明材料（复印件加盖供应商公章）（税务、银行或社会保险基金管理部门出具的近三个月内任意一份缴纳职工社会保障资金的缴款凭证或缴款证明）；</w:t>
      </w:r>
    </w:p>
    <w:p w14:paraId="0DFB8E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（六）近三个月内任意一份依法纳税的缴款凭证（复印件加盖供应商公章）；</w:t>
      </w:r>
    </w:p>
    <w:p w14:paraId="124180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（七）2025年度的财务报告或财务审计报告（复印件加盖供应商公章）；</w:t>
      </w:r>
    </w:p>
    <w:p w14:paraId="587D80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（八）具备履行合同所必需的设备和专业技术能力的书面声明；</w:t>
      </w:r>
    </w:p>
    <w:p w14:paraId="025E9D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（九）参加本次采购活动前3年内在经营活动中没有重大违法记录的书面声明（原件）；</w:t>
      </w:r>
    </w:p>
    <w:p w14:paraId="4610D1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十）未被“信用中国”网站（www.creditchina.gov.cn）列入失信被执行人、重大税收违法案件当事人名单、严重违法失信行为记录名单（提供网页查询截图并加盖供应商公章，查询时间为自公告发布至响应截止时间前任意时间）；</w:t>
      </w:r>
    </w:p>
    <w:p w14:paraId="718ABA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（十一）供应商信用承诺函（原件）。</w:t>
      </w:r>
    </w:p>
    <w:p w14:paraId="46E6AE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方正仿宋_GBK" w:hAnsi="方正仿宋_GBK" w:eastAsia="方正仿宋_GBK" w:cs="方正仿宋_GBK"/>
          <w:b w:val="0"/>
          <w:bCs w:val="0"/>
          <w:color w:val="auto"/>
          <w:sz w:val="24"/>
          <w:szCs w:val="24"/>
          <w:highlight w:val="none"/>
          <w:lang w:val="en-US" w:eastAsia="zh-CN"/>
        </w:rPr>
        <w:t>说明：本项目为企业自主采购（非政府采购）。上述第（五）（六）（七）项用于证明供应商依法经营及具备履约能力，供应商须如实提供；第（十）项以“信用中国”网站查询为准，不再另行要求“中国政府采购网”查询。供应商资格条件应当与采购项目的具体特点和实际需要相适应。</w:t>
      </w:r>
    </w:p>
    <w:p w14:paraId="2836B4BA">
      <w:pPr>
        <w:pStyle w:val="2"/>
        <w:rPr>
          <w:rFonts w:hint="eastAsia"/>
        </w:rPr>
      </w:pPr>
      <w:r>
        <w:rPr>
          <w:rFonts w:hint="eastAsia"/>
          <w:lang w:val="en-US" w:eastAsia="zh-CN"/>
        </w:rPr>
        <w:t>三</w:t>
      </w:r>
      <w:r>
        <w:rPr>
          <w:rFonts w:hint="eastAsia"/>
        </w:rPr>
        <w:t>、项目需求</w:t>
      </w:r>
    </w:p>
    <w:p w14:paraId="1E8070BF">
      <w:pPr>
        <w:keepNext/>
        <w:keepLines/>
        <w:spacing w:before="100" w:beforeAutospacing="1" w:after="100" w:afterAutospacing="1"/>
        <w:outlineLvl w:val="1"/>
        <w:rPr>
          <w:rFonts w:hint="eastAsia" w:ascii="方正楷体_GBK" w:hAnsi="方正楷体_GBK" w:eastAsia="方正楷体_GBK" w:cs="方正楷体_GBK"/>
          <w:sz w:val="32"/>
          <w:szCs w:val="32"/>
        </w:rPr>
      </w:pPr>
      <w:r>
        <w:rPr>
          <w:rFonts w:hint="eastAsia" w:ascii="方正楷体_GBK" w:hAnsi="方正楷体_GBK" w:eastAsia="方正楷体_GBK" w:cs="方正楷体_GBK"/>
          <w:b/>
          <w:sz w:val="32"/>
        </w:rPr>
        <w:t>（一）项目信息</w:t>
      </w:r>
    </w:p>
    <w:p w14:paraId="461DB6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随着某公司的上级集团管控要求持续提升以及某公司业务规模不断扩大，目前该公司在日常办公、固定资产、经营性资产管理领域存在管控效率偏低的问题：人工记录模式容易引发账实不符、风险管控缺位等问题，已难以适配公司规模化发展需求。当前某公司尚未建成独立的协同办公系统，日常办公主要依托集团现有OA系统完成集团文件接收，仅能实现基础的收文处理功能。为实现办公与资产全生命周期的数字化管控，针对房屋租赁等核心业务的合同管理、租金收缴、租期预警等需求，拟搭建综合服务一体化平台，覆盖协同办公与两大资产板块，支持多端协同，为管理决策提供赋能支撑。</w:t>
      </w:r>
    </w:p>
    <w:p w14:paraId="78B2E4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附加创新要求：项目共建科研成果，计划取得两项软件著作权。本项目形成的软件著作权，由采购人作为权利人申请，或由采购人按总包合同约定与业主单位共有；供应商不得就本项目成果单独申请知识产权登记。</w:t>
      </w:r>
    </w:p>
    <w:p w14:paraId="6EEB017E">
      <w:pPr>
        <w:keepNext/>
        <w:keepLines/>
        <w:spacing w:before="100" w:beforeAutospacing="1" w:after="100" w:afterAutospacing="1"/>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（二）项目清单</w:t>
      </w:r>
    </w:p>
    <w:tbl>
      <w:tblPr>
        <w:tblStyle w:val="48"/>
        <w:tblW w:w="4998" w:type="pct"/>
        <w:tblInd w:w="0" w:type="dxa"/>
        <w:tblLayout w:type="fixed"/>
        <w:tblCellMar>
          <w:top w:w="0" w:type="dxa"/>
          <w:left w:w="108" w:type="dxa"/>
          <w:bottom w:w="0" w:type="dxa"/>
          <w:right w:w="108" w:type="dxa"/>
        </w:tblCellMar>
      </w:tblPr>
      <w:tblGrid>
        <w:gridCol w:w="636"/>
        <w:gridCol w:w="2204"/>
        <w:gridCol w:w="4925"/>
        <w:gridCol w:w="751"/>
      </w:tblGrid>
      <w:tr w14:paraId="389DE927">
        <w:tblPrEx>
          <w:tblCellMar>
            <w:top w:w="0" w:type="dxa"/>
            <w:left w:w="108" w:type="dxa"/>
            <w:bottom w:w="0" w:type="dxa"/>
            <w:right w:w="108" w:type="dxa"/>
          </w:tblCellMar>
        </w:tblPrEx>
        <w:trPr>
          <w:trHeight w:val="270" w:hRule="atLeast"/>
        </w:trPr>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D4A1B">
            <w:pPr>
              <w:spacing w:line="240" w:lineRule="auto"/>
              <w:jc w:val="center"/>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序号</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022D">
            <w:pPr>
              <w:spacing w:line="240" w:lineRule="auto"/>
              <w:jc w:val="center"/>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组成</w:t>
            </w:r>
          </w:p>
        </w:tc>
        <w:tc>
          <w:tcPr>
            <w:tcW w:w="2891" w:type="pct"/>
            <w:tcBorders>
              <w:top w:val="single" w:color="000000" w:sz="4" w:space="0"/>
              <w:left w:val="single" w:color="000000" w:sz="4" w:space="0"/>
              <w:bottom w:val="single" w:color="000000" w:sz="4" w:space="0"/>
              <w:right w:val="single" w:color="auto" w:sz="4" w:space="0"/>
            </w:tcBorders>
            <w:shd w:val="clear" w:color="auto" w:fill="auto"/>
            <w:vAlign w:val="center"/>
          </w:tcPr>
          <w:p w14:paraId="5A7BC699">
            <w:pPr>
              <w:spacing w:line="240" w:lineRule="auto"/>
              <w:jc w:val="center"/>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要求</w:t>
            </w:r>
          </w:p>
        </w:tc>
        <w:tc>
          <w:tcPr>
            <w:tcW w:w="441" w:type="pct"/>
            <w:tcBorders>
              <w:top w:val="single" w:color="000000" w:sz="4" w:space="0"/>
              <w:left w:val="single" w:color="auto" w:sz="4" w:space="0"/>
              <w:bottom w:val="single" w:color="000000" w:sz="4" w:space="0"/>
              <w:right w:val="single" w:color="000000" w:sz="4" w:space="0"/>
            </w:tcBorders>
            <w:shd w:val="clear" w:color="auto" w:fill="auto"/>
            <w:vAlign w:val="center"/>
          </w:tcPr>
          <w:p w14:paraId="3DF26C17">
            <w:pPr>
              <w:spacing w:line="240" w:lineRule="auto"/>
              <w:jc w:val="center"/>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数量</w:t>
            </w:r>
          </w:p>
        </w:tc>
      </w:tr>
      <w:tr w14:paraId="4D4046BF">
        <w:tblPrEx>
          <w:tblCellMar>
            <w:top w:w="0" w:type="dxa"/>
            <w:left w:w="108" w:type="dxa"/>
            <w:bottom w:w="0" w:type="dxa"/>
            <w:right w:w="108" w:type="dxa"/>
          </w:tblCellMar>
        </w:tblPrEx>
        <w:trPr>
          <w:trHeight w:val="270" w:hRule="atLeast"/>
        </w:trPr>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E713D">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9351D">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综合服务一体化平台</w:t>
            </w:r>
          </w:p>
        </w:tc>
        <w:tc>
          <w:tcPr>
            <w:tcW w:w="2891" w:type="pct"/>
            <w:tcBorders>
              <w:top w:val="single" w:color="000000" w:sz="4" w:space="0"/>
              <w:left w:val="single" w:color="000000" w:sz="4" w:space="0"/>
              <w:bottom w:val="single" w:color="000000" w:sz="4" w:space="0"/>
              <w:right w:val="single" w:color="auto" w:sz="4" w:space="0"/>
            </w:tcBorders>
            <w:shd w:val="clear" w:color="auto" w:fill="auto"/>
            <w:vAlign w:val="center"/>
          </w:tcPr>
          <w:p w14:paraId="05ACAA1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综合服务一体化平台软件包括协同办公OA和资产运营管理系统，覆盖公司及下属2家单位。</w:t>
            </w:r>
          </w:p>
        </w:tc>
        <w:tc>
          <w:tcPr>
            <w:tcW w:w="441" w:type="pct"/>
            <w:tcBorders>
              <w:top w:val="single" w:color="000000" w:sz="4" w:space="0"/>
              <w:left w:val="single" w:color="auto" w:sz="4" w:space="0"/>
              <w:bottom w:val="single" w:color="000000" w:sz="4" w:space="0"/>
              <w:right w:val="single" w:color="000000" w:sz="4" w:space="0"/>
            </w:tcBorders>
            <w:shd w:val="clear" w:color="auto" w:fill="auto"/>
            <w:vAlign w:val="center"/>
          </w:tcPr>
          <w:p w14:paraId="1251E5E1">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1套</w:t>
            </w:r>
          </w:p>
        </w:tc>
      </w:tr>
      <w:tr w14:paraId="160CEC78">
        <w:tblPrEx>
          <w:tblCellMar>
            <w:top w:w="0" w:type="dxa"/>
            <w:left w:w="108" w:type="dxa"/>
            <w:bottom w:w="0" w:type="dxa"/>
            <w:right w:w="108" w:type="dxa"/>
          </w:tblCellMar>
        </w:tblPrEx>
        <w:trPr>
          <w:trHeight w:val="540" w:hRule="atLeast"/>
        </w:trPr>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D6DD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2</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DE19C">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固定资产盘点服务</w:t>
            </w:r>
          </w:p>
        </w:tc>
        <w:tc>
          <w:tcPr>
            <w:tcW w:w="2891" w:type="pct"/>
            <w:tcBorders>
              <w:top w:val="single" w:color="000000" w:sz="4" w:space="0"/>
              <w:left w:val="single" w:color="000000" w:sz="4" w:space="0"/>
              <w:bottom w:val="single" w:color="000000" w:sz="4" w:space="0"/>
              <w:right w:val="single" w:color="auto" w:sz="4" w:space="0"/>
            </w:tcBorders>
            <w:shd w:val="clear" w:color="auto" w:fill="auto"/>
            <w:vAlign w:val="center"/>
          </w:tcPr>
          <w:p w14:paraId="3AEB2A8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数据录入、标签打印、标签张贴、资产盘点、数据整理、清洗、录入、迁移驻场服务。2000个固定资产</w:t>
            </w:r>
          </w:p>
        </w:tc>
        <w:tc>
          <w:tcPr>
            <w:tcW w:w="441" w:type="pct"/>
            <w:tcBorders>
              <w:top w:val="single" w:color="000000" w:sz="4" w:space="0"/>
              <w:left w:val="single" w:color="auto" w:sz="4" w:space="0"/>
              <w:bottom w:val="single" w:color="000000" w:sz="4" w:space="0"/>
              <w:right w:val="single" w:color="000000" w:sz="4" w:space="0"/>
            </w:tcBorders>
            <w:shd w:val="clear" w:color="auto" w:fill="auto"/>
            <w:vAlign w:val="center"/>
          </w:tcPr>
          <w:p w14:paraId="1A12BFE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1次</w:t>
            </w:r>
          </w:p>
        </w:tc>
      </w:tr>
      <w:tr w14:paraId="7533BAFE">
        <w:tblPrEx>
          <w:tblCellMar>
            <w:top w:w="0" w:type="dxa"/>
            <w:left w:w="108" w:type="dxa"/>
            <w:bottom w:w="0" w:type="dxa"/>
            <w:right w:w="108" w:type="dxa"/>
          </w:tblCellMar>
        </w:tblPrEx>
        <w:trPr>
          <w:trHeight w:val="540" w:hRule="atLeast"/>
        </w:trPr>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4676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3</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AA6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培训服务</w:t>
            </w:r>
          </w:p>
        </w:tc>
        <w:tc>
          <w:tcPr>
            <w:tcW w:w="2891" w:type="pct"/>
            <w:tcBorders>
              <w:top w:val="single" w:color="000000" w:sz="4" w:space="0"/>
              <w:left w:val="single" w:color="000000" w:sz="4" w:space="0"/>
              <w:bottom w:val="single" w:color="000000" w:sz="4" w:space="0"/>
              <w:right w:val="single" w:color="auto" w:sz="4" w:space="0"/>
            </w:tcBorders>
            <w:shd w:val="clear" w:color="auto" w:fill="auto"/>
            <w:vAlign w:val="center"/>
          </w:tcPr>
          <w:p w14:paraId="1F1F0CD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提供办公OA系统使用、固定资产管理、资产运营管理、资产盘点等相关培训和现场指导</w:t>
            </w:r>
          </w:p>
        </w:tc>
        <w:tc>
          <w:tcPr>
            <w:tcW w:w="441" w:type="pct"/>
            <w:tcBorders>
              <w:top w:val="single" w:color="000000" w:sz="4" w:space="0"/>
              <w:left w:val="single" w:color="auto" w:sz="4" w:space="0"/>
              <w:bottom w:val="single" w:color="000000" w:sz="4" w:space="0"/>
              <w:right w:val="single" w:color="000000" w:sz="4" w:space="0"/>
            </w:tcBorders>
            <w:shd w:val="clear" w:color="auto" w:fill="auto"/>
            <w:vAlign w:val="center"/>
          </w:tcPr>
          <w:p w14:paraId="304C6066">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五次</w:t>
            </w:r>
          </w:p>
        </w:tc>
      </w:tr>
      <w:tr w14:paraId="428B5D3F">
        <w:tblPrEx>
          <w:tblCellMar>
            <w:top w:w="0" w:type="dxa"/>
            <w:left w:w="108" w:type="dxa"/>
            <w:bottom w:w="0" w:type="dxa"/>
            <w:right w:w="108" w:type="dxa"/>
          </w:tblCellMar>
        </w:tblPrEx>
        <w:trPr>
          <w:trHeight w:val="540" w:hRule="atLeast"/>
        </w:trPr>
        <w:tc>
          <w:tcPr>
            <w:tcW w:w="3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34A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4</w:t>
            </w:r>
          </w:p>
        </w:tc>
        <w:tc>
          <w:tcPr>
            <w:tcW w:w="12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54EC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接口对接服务</w:t>
            </w:r>
          </w:p>
        </w:tc>
        <w:tc>
          <w:tcPr>
            <w:tcW w:w="2891" w:type="pct"/>
            <w:tcBorders>
              <w:top w:val="single" w:color="000000" w:sz="4" w:space="0"/>
              <w:left w:val="single" w:color="000000" w:sz="4" w:space="0"/>
              <w:bottom w:val="single" w:color="000000" w:sz="4" w:space="0"/>
              <w:right w:val="single" w:color="auto" w:sz="4" w:space="0"/>
            </w:tcBorders>
            <w:shd w:val="clear" w:color="auto" w:fill="auto"/>
            <w:vAlign w:val="center"/>
          </w:tcPr>
          <w:p w14:paraId="4C27C9F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对接集团资产管理系统，实现资产登记管理数据同步；对接集团OA系统，实现集团发文，本系统阅办转发到子公司；对接公司档案管理系统，实现单点登录和收发文归档；提供API文档、1年技术运维服务</w:t>
            </w:r>
          </w:p>
        </w:tc>
        <w:tc>
          <w:tcPr>
            <w:tcW w:w="441" w:type="pct"/>
            <w:tcBorders>
              <w:top w:val="single" w:color="000000" w:sz="4" w:space="0"/>
              <w:left w:val="single" w:color="auto" w:sz="4" w:space="0"/>
              <w:bottom w:val="single" w:color="000000" w:sz="4" w:space="0"/>
              <w:right w:val="single" w:color="000000" w:sz="4" w:space="0"/>
            </w:tcBorders>
            <w:shd w:val="clear" w:color="auto" w:fill="auto"/>
            <w:vAlign w:val="center"/>
          </w:tcPr>
          <w:p w14:paraId="47129C5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1次</w:t>
            </w:r>
          </w:p>
        </w:tc>
      </w:tr>
    </w:tbl>
    <w:p w14:paraId="2CB3ED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p w14:paraId="3AEB5B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本次项目范围为上表所列内容中由供应方承担的部分，双方分工界面如下：平台总体架构设计与技术路线确定、与业主单位及集团各业务系统的集成总协调、云服务器环境部署与运行保障、域名安全防护及整体安全策略落地、面向最终用户的运行维护服务与一线支持、项目整体验收组织，均由采购人自行承担，不属于本次分包范围。供应商就其承担范围内的功能实现、实施质量与进度负责，并配合采购人完成上述集成、部署、上线及运维交接。</w:t>
      </w:r>
    </w:p>
    <w:p w14:paraId="34AC0305">
      <w:pPr>
        <w:keepNext/>
        <w:keepLines/>
        <w:spacing w:before="100" w:beforeAutospacing="1" w:after="100" w:afterAutospacing="1"/>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（三）技术要求</w:t>
      </w:r>
    </w:p>
    <w:p w14:paraId="3C6559B3">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1. 综合服务一体化平台</w:t>
      </w:r>
    </w:p>
    <w:p w14:paraId="5617FA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本平台须遵循采购人确定的总体技术架构与部署方案实施，最终部署于业主单位提供的云服务器；对外域名及安全防护由采购人统一提供。分包方提供符合下列要求的软件产品及配置实施服务，并按采购人要求完成环境适配、数据初始化与上线支持。</w:t>
      </w:r>
    </w:p>
    <w:tbl>
      <w:tblPr>
        <w:tblStyle w:val="4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1053"/>
        <w:gridCol w:w="426"/>
        <w:gridCol w:w="1018"/>
        <w:gridCol w:w="5181"/>
        <w:gridCol w:w="26"/>
      </w:tblGrid>
      <w:tr w14:paraId="01D4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597" w:hRule="atLeast"/>
        </w:trPr>
        <w:tc>
          <w:tcPr>
            <w:tcW w:w="500" w:type="pct"/>
            <w:vAlign w:val="center"/>
          </w:tcPr>
          <w:p w14:paraId="0002C7BD">
            <w:pPr>
              <w:spacing w:line="240" w:lineRule="auto"/>
              <w:jc w:val="center"/>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系统</w:t>
            </w:r>
          </w:p>
        </w:tc>
        <w:tc>
          <w:tcPr>
            <w:tcW w:w="643" w:type="pct"/>
            <w:vAlign w:val="center"/>
          </w:tcPr>
          <w:p w14:paraId="0430CEE2">
            <w:pPr>
              <w:spacing w:line="240" w:lineRule="auto"/>
              <w:jc w:val="center"/>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功能模块</w:t>
            </w:r>
          </w:p>
        </w:tc>
        <w:tc>
          <w:tcPr>
            <w:tcW w:w="3815" w:type="pct"/>
            <w:gridSpan w:val="3"/>
            <w:vAlign w:val="center"/>
          </w:tcPr>
          <w:p w14:paraId="4F26BBFD">
            <w:pPr>
              <w:spacing w:line="240" w:lineRule="auto"/>
              <w:jc w:val="center"/>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功能描述</w:t>
            </w:r>
          </w:p>
        </w:tc>
      </w:tr>
      <w:tr w14:paraId="7041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597" w:hRule="atLeast"/>
        </w:trPr>
        <w:tc>
          <w:tcPr>
            <w:tcW w:w="500" w:type="pct"/>
            <w:vMerge w:val="restart"/>
            <w:vAlign w:val="center"/>
          </w:tcPr>
          <w:p w14:paraId="76BFB5C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协同办公管理系统</w:t>
            </w:r>
          </w:p>
        </w:tc>
        <w:tc>
          <w:tcPr>
            <w:tcW w:w="643" w:type="pct"/>
            <w:vAlign w:val="center"/>
          </w:tcPr>
          <w:p w14:paraId="383DEE8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基础平台</w:t>
            </w:r>
          </w:p>
        </w:tc>
        <w:tc>
          <w:tcPr>
            <w:tcW w:w="3815" w:type="pct"/>
            <w:gridSpan w:val="3"/>
            <w:vAlign w:val="center"/>
          </w:tcPr>
          <w:p w14:paraId="74F0F3A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高可用、高安全的集团型协同技术平台，包括PC端基础运行平台和开发框架、规范、组件，提供集团多组织结构引擎、集团型组织权限引擎、工作流引擎、门户引擎、基础表单引擎，具备多操作系统、多中间件、多数据库、多语言和多终端支持能力。并开放标准接口，支持快速开发集成。</w:t>
            </w:r>
          </w:p>
        </w:tc>
      </w:tr>
      <w:tr w14:paraId="5CA6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597" w:hRule="atLeast"/>
        </w:trPr>
        <w:tc>
          <w:tcPr>
            <w:tcW w:w="500" w:type="pct"/>
            <w:vMerge w:val="continue"/>
            <w:vAlign w:val="center"/>
          </w:tcPr>
          <w:p w14:paraId="0FEFC97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Align w:val="center"/>
          </w:tcPr>
          <w:p w14:paraId="05048A3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移动平台</w:t>
            </w:r>
          </w:p>
        </w:tc>
        <w:tc>
          <w:tcPr>
            <w:tcW w:w="3815" w:type="pct"/>
            <w:gridSpan w:val="3"/>
            <w:vAlign w:val="center"/>
          </w:tcPr>
          <w:p w14:paraId="0106728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APP，移动统一门户、移动办公管理、移动业务管理、移动集成管理、移动开发管理、移动社交化业务、移动智能管理、移动安全管理。</w:t>
            </w:r>
          </w:p>
          <w:p w14:paraId="7005B92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内部即时通讯：支持私有化部署，提供多端入口，PC端、移动端及网页端，消息及数据完全互通。</w:t>
            </w:r>
          </w:p>
          <w:p w14:paraId="4ACA9F0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移动端app支持ios、安卓系统环境安装，且必须支持鸿蒙系统、纯血鸿蒙系统安装使用。</w:t>
            </w:r>
          </w:p>
        </w:tc>
      </w:tr>
      <w:tr w14:paraId="7FAB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597" w:hRule="atLeast"/>
        </w:trPr>
        <w:tc>
          <w:tcPr>
            <w:tcW w:w="500" w:type="pct"/>
            <w:vMerge w:val="continue"/>
            <w:vAlign w:val="center"/>
          </w:tcPr>
          <w:p w14:paraId="4099200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shd w:val="clear" w:color="auto" w:fill="auto"/>
            <w:vAlign w:val="center"/>
          </w:tcPr>
          <w:p w14:paraId="7D197373">
            <w:pPr>
              <w:spacing w:line="240" w:lineRule="auto"/>
              <w:jc w:val="left"/>
              <w:rPr>
                <w:rFonts w:hint="eastAsia" w:ascii="方正仿宋_GBK" w:hAnsi="方正仿宋_GBK" w:eastAsia="方正仿宋_GBK" w:cs="方正仿宋_GBK"/>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rPr>
              <w:t>公文管理</w:t>
            </w:r>
          </w:p>
        </w:tc>
        <w:tc>
          <w:tcPr>
            <w:tcW w:w="3815" w:type="pct"/>
            <w:gridSpan w:val="3"/>
            <w:shd w:val="clear" w:color="auto" w:fill="auto"/>
            <w:vAlign w:val="center"/>
          </w:tcPr>
          <w:p w14:paraId="49F3837D">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收文管理（包含登记、批示、呈办反馈等内容）</w:t>
            </w:r>
          </w:p>
          <w:p w14:paraId="23FA73D6">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发文管理（包含拟稿、核稿、签发、分发、回执、打印等内容）</w:t>
            </w:r>
          </w:p>
          <w:p w14:paraId="4280CB6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公文档案(包含自动分类归档，便于关键字、多维度查询)，支持将历史公文档案结构化导入系统，便于查询历史公文，需支持全文检索、条件检索。</w:t>
            </w:r>
          </w:p>
          <w:p w14:paraId="738E85B6">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公文交换（实现与下级试点单位之间的公文交换功能）</w:t>
            </w:r>
          </w:p>
          <w:p w14:paraId="6E8C1DC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支持公文与督办联动、公文与会议联动、公文与日程联动</w:t>
            </w:r>
          </w:p>
          <w:p w14:paraId="50309102">
            <w:pPr>
              <w:spacing w:line="240" w:lineRule="auto"/>
              <w:jc w:val="left"/>
              <w:rPr>
                <w:rFonts w:hint="eastAsia" w:ascii="方正仿宋_GBK" w:hAnsi="方正仿宋_GBK" w:eastAsia="方正仿宋_GBK" w:cs="方正仿宋_GBK"/>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rPr>
              <w:t>支持与集团收发文对接，实现集团发文推送到子公司，并转收文。</w:t>
            </w:r>
          </w:p>
        </w:tc>
      </w:tr>
      <w:tr w14:paraId="454C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597" w:hRule="atLeast"/>
        </w:trPr>
        <w:tc>
          <w:tcPr>
            <w:tcW w:w="500" w:type="pct"/>
            <w:vMerge w:val="continue"/>
            <w:vAlign w:val="center"/>
          </w:tcPr>
          <w:p w14:paraId="044EFD9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shd w:val="clear" w:color="auto" w:fill="auto"/>
            <w:vAlign w:val="center"/>
          </w:tcPr>
          <w:p w14:paraId="2846F6D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会议管理</w:t>
            </w:r>
          </w:p>
        </w:tc>
        <w:tc>
          <w:tcPr>
            <w:tcW w:w="3815" w:type="pct"/>
            <w:gridSpan w:val="3"/>
            <w:shd w:val="clear" w:color="auto" w:fill="auto"/>
            <w:vAlign w:val="center"/>
          </w:tcPr>
          <w:p w14:paraId="7123426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实现会议召集、会议签到、会议提醒、会议纪要发布并支持自动触发会议督办任务</w:t>
            </w:r>
          </w:p>
        </w:tc>
      </w:tr>
      <w:tr w14:paraId="42F6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597" w:hRule="atLeast"/>
        </w:trPr>
        <w:tc>
          <w:tcPr>
            <w:tcW w:w="500" w:type="pct"/>
            <w:vMerge w:val="continue"/>
            <w:vAlign w:val="center"/>
          </w:tcPr>
          <w:p w14:paraId="3E22739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shd w:val="clear" w:color="auto" w:fill="auto"/>
            <w:vAlign w:val="center"/>
          </w:tcPr>
          <w:p w14:paraId="1A016796">
            <w:pPr>
              <w:spacing w:line="240" w:lineRule="auto"/>
              <w:jc w:val="left"/>
              <w:rPr>
                <w:rFonts w:hint="eastAsia" w:ascii="方正仿宋_GBK" w:hAnsi="方正仿宋_GBK" w:eastAsia="方正仿宋_GBK" w:cs="方正仿宋_GBK"/>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rPr>
              <w:t>流程管理</w:t>
            </w:r>
          </w:p>
        </w:tc>
        <w:tc>
          <w:tcPr>
            <w:tcW w:w="3815" w:type="pct"/>
            <w:gridSpan w:val="3"/>
            <w:shd w:val="clear" w:color="auto" w:fill="auto"/>
            <w:vAlign w:val="center"/>
          </w:tcPr>
          <w:p w14:paraId="47EB1DB1">
            <w:pPr>
              <w:pStyle w:val="15"/>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1、行政类审批（包含用车、会议室、用印、新闻信息发布内容）</w:t>
            </w:r>
          </w:p>
          <w:p w14:paraId="581E77A3">
            <w:pPr>
              <w:pStyle w:val="15"/>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2、事项类审批（包含请示汇报等）</w:t>
            </w:r>
          </w:p>
          <w:p w14:paraId="25BC24D4">
            <w:pPr>
              <w:pStyle w:val="15"/>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3、上述审批自动需与提醒、催办、跟踪、干预等功能关联</w:t>
            </w:r>
          </w:p>
          <w:p w14:paraId="7BF6A2F6">
            <w:pPr>
              <w:pStyle w:val="15"/>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4、支持上述审批中数据自动生成动态数据台账</w:t>
            </w:r>
          </w:p>
          <w:p w14:paraId="17407D1C">
            <w:pPr>
              <w:pStyle w:val="15"/>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5、支持实施中及上线后可自定义添加流程。</w:t>
            </w:r>
          </w:p>
          <w:p w14:paraId="6FA20EAC">
            <w:pPr>
              <w:pStyle w:val="15"/>
              <w:spacing w:line="240" w:lineRule="auto"/>
              <w:rPr>
                <w:rFonts w:hint="eastAsia" w:ascii="方正仿宋_GBK" w:hAnsi="方正仿宋_GBK" w:eastAsia="方正仿宋_GBK" w:cs="方正仿宋_GBK"/>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rPr>
              <w:t>6、</w:t>
            </w:r>
            <w:r>
              <w:rPr>
                <w:rFonts w:hint="eastAsia" w:ascii="方正仿宋_GBK" w:hAnsi="方正仿宋_GBK" w:eastAsia="方正仿宋_GBK" w:cs="方正仿宋_GBK"/>
                <w:color w:val="auto"/>
                <w:highlight w:val="none"/>
              </w:rPr>
              <w:t>支持可视化界面进行流程维护和调整</w:t>
            </w:r>
            <w:r>
              <w:rPr>
                <w:rFonts w:hint="eastAsia" w:ascii="方正仿宋_GBK" w:hAnsi="方正仿宋_GBK" w:eastAsia="方正仿宋_GBK" w:cs="方正仿宋_GBK"/>
                <w:color w:val="auto"/>
                <w:highlight w:val="none"/>
                <w:lang w:val="en-US" w:eastAsia="zh-CN"/>
              </w:rPr>
              <w:t>。</w:t>
            </w:r>
          </w:p>
        </w:tc>
      </w:tr>
      <w:tr w14:paraId="3BD1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Height w:val="668" w:hRule="atLeast"/>
        </w:trPr>
        <w:tc>
          <w:tcPr>
            <w:tcW w:w="500" w:type="pct"/>
            <w:vMerge w:val="continue"/>
            <w:vAlign w:val="center"/>
          </w:tcPr>
          <w:p w14:paraId="3FF2F1E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Align w:val="center"/>
          </w:tcPr>
          <w:p w14:paraId="2860D9A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门户管理</w:t>
            </w:r>
          </w:p>
        </w:tc>
        <w:tc>
          <w:tcPr>
            <w:tcW w:w="3815" w:type="pct"/>
            <w:gridSpan w:val="3"/>
            <w:vAlign w:val="center"/>
          </w:tcPr>
          <w:p w14:paraId="01016E71">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1、单位信息门户（对内新闻、通知、资讯、公示公告），移动端以消息推送的方式进行提醒，点击消息可以直接进入事务办理。</w:t>
            </w:r>
          </w:p>
          <w:p w14:paraId="3BD0CB0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2、领导桌面（包含公文中心、日程安排、会议提醒、通讯录内容）。</w:t>
            </w:r>
          </w:p>
          <w:p w14:paraId="1F7EF16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3、工作门户（包含流程待办、事项提醒等内容）</w:t>
            </w:r>
          </w:p>
          <w:p w14:paraId="68E2953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4、门户可定义个性化内容页面风格、样式、内容（参考集团系统）</w:t>
            </w:r>
          </w:p>
        </w:tc>
      </w:tr>
      <w:tr w14:paraId="6017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Pr>
        <w:tc>
          <w:tcPr>
            <w:tcW w:w="500" w:type="pct"/>
            <w:vMerge w:val="continue"/>
            <w:vAlign w:val="center"/>
          </w:tcPr>
          <w:p w14:paraId="4F9AF97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Align w:val="center"/>
          </w:tcPr>
          <w:p w14:paraId="27C2D581">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组织管理</w:t>
            </w:r>
          </w:p>
        </w:tc>
        <w:tc>
          <w:tcPr>
            <w:tcW w:w="3815" w:type="pct"/>
            <w:gridSpan w:val="3"/>
            <w:vAlign w:val="center"/>
          </w:tcPr>
          <w:p w14:paraId="3B296CB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提供多维度组织管理</w:t>
            </w:r>
            <w:r>
              <w:rPr>
                <w:rFonts w:hint="eastAsia" w:ascii="方正仿宋_GBK" w:hAnsi="方正仿宋_GBK" w:eastAsia="方正仿宋_GBK" w:cs="方正仿宋_GBK"/>
                <w:color w:val="auto"/>
                <w:kern w:val="0"/>
                <w:sz w:val="21"/>
                <w:szCs w:val="21"/>
                <w:highlight w:val="none"/>
                <w:lang w:val="en-US" w:eastAsia="zh-Hans"/>
              </w:rPr>
              <w:t>、</w:t>
            </w:r>
            <w:r>
              <w:rPr>
                <w:rFonts w:hint="eastAsia" w:ascii="方正仿宋_GBK" w:hAnsi="方正仿宋_GBK" w:eastAsia="方正仿宋_GBK" w:cs="方正仿宋_GBK"/>
                <w:color w:val="auto"/>
                <w:kern w:val="0"/>
                <w:sz w:val="21"/>
                <w:szCs w:val="21"/>
                <w:highlight w:val="none"/>
                <w:lang w:val="en-US" w:eastAsia="zh-CN"/>
              </w:rPr>
              <w:t>组织架构的基本维护、组织矩阵。集团及各辖管单位组织架构可视，人员花名册（人事卡片），多维度组织架构（党委维度、行政组织维度、专题维度），覆盖某公司及下辖分子公司的200个账号分配。</w:t>
            </w:r>
          </w:p>
        </w:tc>
      </w:tr>
      <w:tr w14:paraId="78EB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Pr>
        <w:tc>
          <w:tcPr>
            <w:tcW w:w="500" w:type="pct"/>
            <w:vMerge w:val="continue"/>
            <w:vAlign w:val="center"/>
          </w:tcPr>
          <w:p w14:paraId="718065B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Align w:val="center"/>
          </w:tcPr>
          <w:p w14:paraId="693FF34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行政管理</w:t>
            </w:r>
          </w:p>
        </w:tc>
        <w:tc>
          <w:tcPr>
            <w:tcW w:w="3815" w:type="pct"/>
            <w:gridSpan w:val="3"/>
            <w:vAlign w:val="center"/>
          </w:tcPr>
          <w:p w14:paraId="57A7E96C">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车辆管理：实现集团公务用车的保险到期提醒，用车申请、车辆维修保养申请等。</w:t>
            </w:r>
          </w:p>
        </w:tc>
      </w:tr>
      <w:tr w14:paraId="0272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Pr>
        <w:tc>
          <w:tcPr>
            <w:tcW w:w="500" w:type="pct"/>
            <w:vMerge w:val="continue"/>
            <w:vAlign w:val="center"/>
          </w:tcPr>
          <w:p w14:paraId="66B1C76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tcBorders>
              <w:top w:val="single" w:color="auto" w:sz="4" w:space="0"/>
              <w:left w:val="single" w:color="auto" w:sz="4" w:space="0"/>
              <w:bottom w:val="single" w:color="auto" w:sz="4" w:space="0"/>
              <w:right w:val="single" w:color="auto" w:sz="4" w:space="0"/>
            </w:tcBorders>
            <w:vAlign w:val="center"/>
          </w:tcPr>
          <w:p w14:paraId="7854B6B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使用环境</w:t>
            </w:r>
          </w:p>
        </w:tc>
        <w:tc>
          <w:tcPr>
            <w:tcW w:w="3815" w:type="pct"/>
            <w:gridSpan w:val="3"/>
            <w:tcBorders>
              <w:top w:val="single" w:color="auto" w:sz="4" w:space="0"/>
              <w:left w:val="single" w:color="auto" w:sz="4" w:space="0"/>
              <w:bottom w:val="single" w:color="auto" w:sz="4" w:space="0"/>
              <w:right w:val="single" w:color="auto" w:sz="4" w:space="0"/>
            </w:tcBorders>
            <w:vAlign w:val="center"/>
          </w:tcPr>
          <w:p w14:paraId="7FE2237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系统支持内外网同时使用，客户端也支持在手机/平板等多终端通过VPN接入访问。</w:t>
            </w:r>
          </w:p>
        </w:tc>
      </w:tr>
      <w:tr w14:paraId="0A9E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Pr>
        <w:tc>
          <w:tcPr>
            <w:tcW w:w="500" w:type="pct"/>
            <w:vMerge w:val="continue"/>
            <w:tcBorders>
              <w:bottom w:val="single" w:color="auto" w:sz="4" w:space="0"/>
            </w:tcBorders>
            <w:vAlign w:val="center"/>
          </w:tcPr>
          <w:p w14:paraId="6084A48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tcBorders>
              <w:top w:val="single" w:color="auto" w:sz="4" w:space="0"/>
              <w:left w:val="single" w:color="auto" w:sz="4" w:space="0"/>
              <w:bottom w:val="single" w:color="auto" w:sz="4" w:space="0"/>
              <w:right w:val="single" w:color="auto" w:sz="4" w:space="0"/>
            </w:tcBorders>
            <w:vAlign w:val="center"/>
          </w:tcPr>
          <w:p w14:paraId="45CF2AD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产品技术要求</w:t>
            </w:r>
          </w:p>
        </w:tc>
        <w:tc>
          <w:tcPr>
            <w:tcW w:w="3815" w:type="pct"/>
            <w:gridSpan w:val="3"/>
            <w:tcBorders>
              <w:top w:val="single" w:color="auto" w:sz="4" w:space="0"/>
              <w:left w:val="single" w:color="auto" w:sz="4" w:space="0"/>
              <w:bottom w:val="single" w:color="auto" w:sz="4" w:space="0"/>
              <w:right w:val="single" w:color="auto" w:sz="4" w:space="0"/>
            </w:tcBorders>
            <w:vAlign w:val="center"/>
          </w:tcPr>
          <w:p w14:paraId="2DA9E711">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Hans"/>
              </w:rPr>
              <w:t>支持</w:t>
            </w:r>
            <w:r>
              <w:rPr>
                <w:rFonts w:hint="eastAsia" w:ascii="方正仿宋_GBK" w:hAnsi="方正仿宋_GBK" w:eastAsia="方正仿宋_GBK" w:cs="方正仿宋_GBK"/>
                <w:color w:val="auto"/>
                <w:kern w:val="0"/>
                <w:sz w:val="21"/>
                <w:szCs w:val="21"/>
                <w:highlight w:val="none"/>
                <w:lang w:val="en-US" w:eastAsia="zh-CN"/>
              </w:rPr>
              <w:t>私有化部署，</w:t>
            </w:r>
            <w:r>
              <w:rPr>
                <w:rFonts w:hint="eastAsia" w:ascii="方正仿宋_GBK" w:hAnsi="方正仿宋_GBK" w:eastAsia="方正仿宋_GBK" w:cs="方正仿宋_GBK"/>
                <w:color w:val="auto"/>
                <w:kern w:val="0"/>
                <w:sz w:val="21"/>
                <w:szCs w:val="21"/>
                <w:highlight w:val="none"/>
                <w:lang w:val="en-US" w:eastAsia="zh-Hans"/>
              </w:rPr>
              <w:t>提供</w:t>
            </w:r>
            <w:r>
              <w:rPr>
                <w:rFonts w:hint="eastAsia" w:ascii="方正仿宋_GBK" w:hAnsi="方正仿宋_GBK" w:eastAsia="方正仿宋_GBK" w:cs="方正仿宋_GBK"/>
                <w:color w:val="auto"/>
                <w:kern w:val="0"/>
                <w:sz w:val="21"/>
                <w:szCs w:val="21"/>
                <w:highlight w:val="none"/>
                <w:lang w:val="en-US" w:eastAsia="zh-CN"/>
              </w:rPr>
              <w:t>部署方案；</w:t>
            </w:r>
          </w:p>
          <w:p w14:paraId="624D54E0">
            <w:pPr>
              <w:spacing w:line="240" w:lineRule="auto"/>
              <w:jc w:val="left"/>
              <w:rPr>
                <w:rFonts w:hint="eastAsia" w:ascii="方正仿宋_GBK" w:hAnsi="方正仿宋_GBK" w:eastAsia="方正仿宋_GBK" w:cs="方正仿宋_GBK"/>
                <w:color w:val="auto"/>
                <w:kern w:val="0"/>
                <w:szCs w:val="21"/>
                <w:highlight w:val="none"/>
              </w:rPr>
            </w:pPr>
            <w:r>
              <w:rPr>
                <w:rFonts w:hint="eastAsia" w:ascii="方正仿宋_GBK" w:hAnsi="方正仿宋_GBK" w:eastAsia="方正仿宋_GBK" w:cs="方正仿宋_GBK"/>
                <w:color w:val="auto"/>
                <w:kern w:val="0"/>
                <w:szCs w:val="21"/>
                <w:highlight w:val="none"/>
                <w:lang w:eastAsia="zh-Hans"/>
              </w:rPr>
              <w:t>满足</w:t>
            </w:r>
            <w:r>
              <w:rPr>
                <w:rFonts w:hint="eastAsia" w:ascii="方正仿宋_GBK" w:hAnsi="方正仿宋_GBK" w:eastAsia="方正仿宋_GBK" w:cs="方正仿宋_GBK"/>
                <w:color w:val="auto"/>
                <w:kern w:val="0"/>
                <w:szCs w:val="21"/>
                <w:highlight w:val="none"/>
              </w:rPr>
              <w:t>前后端分离、松耦合</w:t>
            </w:r>
            <w:r>
              <w:rPr>
                <w:rFonts w:hint="eastAsia" w:ascii="方正仿宋_GBK" w:hAnsi="方正仿宋_GBK" w:eastAsia="方正仿宋_GBK" w:cs="方正仿宋_GBK"/>
                <w:color w:val="auto"/>
                <w:kern w:val="0"/>
                <w:szCs w:val="21"/>
                <w:highlight w:val="none"/>
                <w:lang w:eastAsia="zh-Hans"/>
              </w:rPr>
              <w:t>的技术架构</w:t>
            </w:r>
            <w:r>
              <w:rPr>
                <w:rFonts w:hint="eastAsia" w:ascii="方正仿宋_GBK" w:hAnsi="方正仿宋_GBK" w:eastAsia="方正仿宋_GBK" w:cs="方正仿宋_GBK"/>
                <w:color w:val="auto"/>
                <w:kern w:val="0"/>
                <w:szCs w:val="21"/>
                <w:highlight w:val="none"/>
              </w:rPr>
              <w:t>；</w:t>
            </w:r>
          </w:p>
          <w:p w14:paraId="20FB8D0B">
            <w:pPr>
              <w:spacing w:line="240" w:lineRule="auto"/>
              <w:jc w:val="left"/>
              <w:rPr>
                <w:rFonts w:hint="eastAsia" w:ascii="方正仿宋_GBK" w:hAnsi="方正仿宋_GBK" w:eastAsia="方正仿宋_GBK" w:cs="方正仿宋_GBK"/>
                <w:color w:val="auto"/>
                <w:kern w:val="0"/>
                <w:szCs w:val="21"/>
                <w:highlight w:val="none"/>
              </w:rPr>
            </w:pPr>
            <w:r>
              <w:rPr>
                <w:rFonts w:hint="eastAsia" w:ascii="方正仿宋_GBK" w:hAnsi="方正仿宋_GBK" w:eastAsia="方正仿宋_GBK" w:cs="方正仿宋_GBK"/>
                <w:color w:val="auto"/>
                <w:kern w:val="0"/>
                <w:szCs w:val="21"/>
                <w:highlight w:val="none"/>
              </w:rPr>
              <w:t>平台需要有无侵入式开发能力，二次开发不影响升级，同时具备</w:t>
            </w:r>
            <w:r>
              <w:rPr>
                <w:rFonts w:hint="eastAsia" w:ascii="方正仿宋_GBK" w:hAnsi="方正仿宋_GBK" w:eastAsia="方正仿宋_GBK" w:cs="方正仿宋_GBK"/>
                <w:color w:val="auto"/>
                <w:kern w:val="0"/>
                <w:szCs w:val="21"/>
                <w:highlight w:val="none"/>
                <w:lang w:eastAsia="zh-Hans"/>
              </w:rPr>
              <w:t>网页端的前端</w:t>
            </w:r>
            <w:r>
              <w:rPr>
                <w:rFonts w:hint="eastAsia" w:ascii="方正仿宋_GBK" w:hAnsi="方正仿宋_GBK" w:eastAsia="方正仿宋_GBK" w:cs="方正仿宋_GBK"/>
                <w:color w:val="auto"/>
                <w:kern w:val="0"/>
                <w:szCs w:val="21"/>
                <w:highlight w:val="none"/>
              </w:rPr>
              <w:t>开发平台；</w:t>
            </w:r>
          </w:p>
          <w:p w14:paraId="3BC07A1C">
            <w:pPr>
              <w:spacing w:line="240" w:lineRule="auto"/>
              <w:jc w:val="left"/>
              <w:rPr>
                <w:rFonts w:hint="eastAsia" w:ascii="方正仿宋_GBK" w:hAnsi="方正仿宋_GBK" w:eastAsia="方正仿宋_GBK" w:cs="方正仿宋_GBK"/>
                <w:color w:val="auto"/>
                <w:kern w:val="0"/>
                <w:szCs w:val="21"/>
                <w:highlight w:val="none"/>
              </w:rPr>
            </w:pPr>
            <w:r>
              <w:rPr>
                <w:rFonts w:hint="eastAsia" w:ascii="方正仿宋_GBK" w:hAnsi="方正仿宋_GBK" w:eastAsia="方正仿宋_GBK" w:cs="方正仿宋_GBK"/>
                <w:color w:val="auto"/>
                <w:kern w:val="0"/>
                <w:szCs w:val="21"/>
                <w:highlight w:val="none"/>
              </w:rPr>
              <w:t>系统安全上，具备完善的安全管理方案，包括容灾备份、权限级别控制等；</w:t>
            </w:r>
          </w:p>
          <w:p w14:paraId="5F606443">
            <w:pPr>
              <w:spacing w:line="240" w:lineRule="auto"/>
              <w:jc w:val="left"/>
              <w:rPr>
                <w:rFonts w:hint="eastAsia" w:ascii="方正仿宋_GBK" w:hAnsi="方正仿宋_GBK" w:eastAsia="方正仿宋_GBK" w:cs="方正仿宋_GBK"/>
                <w:color w:val="auto"/>
                <w:kern w:val="0"/>
                <w:szCs w:val="21"/>
                <w:highlight w:val="none"/>
              </w:rPr>
            </w:pPr>
            <w:r>
              <w:rPr>
                <w:rFonts w:hint="eastAsia" w:ascii="方正仿宋_GBK" w:hAnsi="方正仿宋_GBK" w:eastAsia="方正仿宋_GBK" w:cs="方正仿宋_GBK"/>
                <w:color w:val="auto"/>
                <w:kern w:val="0"/>
                <w:szCs w:val="21"/>
                <w:highlight w:val="none"/>
              </w:rPr>
              <w:t>支持即时通讯中聊天数据加密管理，可以对重要敏感的数据或文档进行加密访问或身份认证；</w:t>
            </w:r>
          </w:p>
          <w:p w14:paraId="2EBEE400">
            <w:pPr>
              <w:spacing w:line="240" w:lineRule="auto"/>
              <w:jc w:val="left"/>
              <w:rPr>
                <w:rFonts w:hint="eastAsia" w:ascii="方正仿宋_GBK" w:hAnsi="方正仿宋_GBK" w:eastAsia="方正仿宋_GBK" w:cs="方正仿宋_GBK"/>
                <w:color w:val="auto"/>
                <w:kern w:val="0"/>
                <w:szCs w:val="21"/>
                <w:highlight w:val="none"/>
              </w:rPr>
            </w:pPr>
            <w:r>
              <w:rPr>
                <w:rFonts w:hint="eastAsia" w:ascii="方正仿宋_GBK" w:hAnsi="方正仿宋_GBK" w:eastAsia="方正仿宋_GBK" w:cs="方正仿宋_GBK"/>
                <w:color w:val="auto"/>
                <w:kern w:val="0"/>
                <w:szCs w:val="21"/>
                <w:highlight w:val="none"/>
              </w:rPr>
              <w:t>平台自身具有运维管理中心，系统日志中心，安全监控中心、升级管理中心；</w:t>
            </w:r>
          </w:p>
          <w:p w14:paraId="3DAF153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Cs w:val="21"/>
                <w:highlight w:val="none"/>
                <w:lang w:eastAsia="zh-Hans"/>
              </w:rPr>
              <w:t>具备</w:t>
            </w:r>
            <w:r>
              <w:rPr>
                <w:rFonts w:hint="eastAsia" w:ascii="方正仿宋_GBK" w:hAnsi="方正仿宋_GBK" w:eastAsia="方正仿宋_GBK" w:cs="方正仿宋_GBK"/>
                <w:color w:val="auto"/>
                <w:kern w:val="0"/>
                <w:szCs w:val="21"/>
                <w:highlight w:val="none"/>
              </w:rPr>
              <w:t>低代码</w:t>
            </w:r>
            <w:r>
              <w:rPr>
                <w:rFonts w:hint="eastAsia" w:ascii="方正仿宋_GBK" w:hAnsi="方正仿宋_GBK" w:eastAsia="方正仿宋_GBK" w:cs="方正仿宋_GBK"/>
                <w:color w:val="auto"/>
                <w:kern w:val="0"/>
                <w:szCs w:val="21"/>
                <w:highlight w:val="none"/>
                <w:lang w:eastAsia="zh-Hans"/>
              </w:rPr>
              <w:t>能力，有完善的低代码</w:t>
            </w:r>
            <w:r>
              <w:rPr>
                <w:rFonts w:hint="eastAsia" w:ascii="方正仿宋_GBK" w:hAnsi="方正仿宋_GBK" w:eastAsia="方正仿宋_GBK" w:cs="方正仿宋_GBK"/>
                <w:color w:val="auto"/>
                <w:kern w:val="0"/>
                <w:szCs w:val="21"/>
                <w:highlight w:val="none"/>
              </w:rPr>
              <w:t>开发方案。</w:t>
            </w:r>
          </w:p>
        </w:tc>
      </w:tr>
      <w:tr w14:paraId="5C13B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500" w:type="pct"/>
            <w:vMerge w:val="restart"/>
            <w:tcBorders>
              <w:top w:val="single" w:color="auto" w:sz="4" w:space="0"/>
              <w:left w:val="single" w:color="auto" w:sz="4" w:space="0"/>
              <w:right w:val="single" w:color="auto" w:sz="4" w:space="0"/>
            </w:tcBorders>
            <w:vAlign w:val="center"/>
          </w:tcPr>
          <w:p w14:paraId="658D081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资产运营管理系统</w:t>
            </w:r>
          </w:p>
        </w:tc>
        <w:tc>
          <w:tcPr>
            <w:tcW w:w="643" w:type="pct"/>
            <w:vMerge w:val="restart"/>
            <w:tcBorders>
              <w:top w:val="single" w:color="auto" w:sz="4" w:space="0"/>
              <w:left w:val="single" w:color="auto" w:sz="4" w:space="0"/>
              <w:right w:val="single" w:color="auto" w:sz="4" w:space="0"/>
            </w:tcBorders>
            <w:vAlign w:val="center"/>
          </w:tcPr>
          <w:p w14:paraId="68DCBFD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固定资产管理</w:t>
            </w:r>
          </w:p>
        </w:tc>
        <w:tc>
          <w:tcPr>
            <w:tcW w:w="127" w:type="pct"/>
            <w:vMerge w:val="restart"/>
            <w:tcBorders>
              <w:top w:val="single" w:color="auto" w:sz="4" w:space="0"/>
              <w:left w:val="single" w:color="auto" w:sz="4" w:space="0"/>
              <w:right w:val="single" w:color="auto" w:sz="4" w:space="0"/>
            </w:tcBorders>
            <w:vAlign w:val="center"/>
          </w:tcPr>
          <w:p w14:paraId="2FA24D6C">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基础信息</w:t>
            </w:r>
          </w:p>
        </w:tc>
        <w:tc>
          <w:tcPr>
            <w:tcW w:w="622" w:type="pct"/>
            <w:tcBorders>
              <w:top w:val="single" w:color="auto" w:sz="4" w:space="0"/>
              <w:left w:val="single" w:color="auto" w:sz="4" w:space="0"/>
              <w:bottom w:val="single" w:color="auto" w:sz="4" w:space="0"/>
              <w:right w:val="single" w:color="auto" w:sz="4" w:space="0"/>
            </w:tcBorders>
            <w:shd w:val="clear" w:color="auto" w:fill="auto"/>
            <w:vAlign w:val="center"/>
          </w:tcPr>
          <w:p w14:paraId="653709B6">
            <w:pPr>
              <w:spacing w:line="240" w:lineRule="auto"/>
              <w:jc w:val="left"/>
              <w:rPr>
                <w:rFonts w:hint="eastAsia" w:ascii="方正仿宋_GBK" w:hAnsi="方正仿宋_GBK" w:eastAsia="方正仿宋_GBK" w:cs="方正仿宋_GBK"/>
                <w:color w:val="auto"/>
                <w:kern w:val="0"/>
                <w:sz w:val="21"/>
                <w:szCs w:val="21"/>
                <w:highlight w:val="none"/>
                <w:lang w:val="en-US" w:eastAsia="zh-Hans"/>
              </w:rPr>
            </w:pPr>
            <w:r>
              <w:rPr>
                <w:rFonts w:hint="eastAsia" w:ascii="方正仿宋_GBK" w:hAnsi="方正仿宋_GBK" w:eastAsia="方正仿宋_GBK" w:cs="方正仿宋_GBK"/>
                <w:color w:val="auto"/>
                <w:kern w:val="0"/>
                <w:sz w:val="21"/>
                <w:szCs w:val="21"/>
                <w:highlight w:val="none"/>
                <w:lang w:val="en-US" w:eastAsia="zh-CN"/>
              </w:rPr>
              <w:t>资产分类</w:t>
            </w:r>
          </w:p>
        </w:tc>
        <w:tc>
          <w:tcPr>
            <w:tcW w:w="310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031EC4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设置固定资产分类及代码，系统预置分类参照国标号：GB/T14885—2010，《固定资产分类与代码》标准执行。企业可按需自定义。记录企业所有资产的分类及代码。以资产类型为树型结构展示资产分类明细。</w:t>
            </w:r>
          </w:p>
        </w:tc>
      </w:tr>
      <w:tr w14:paraId="6239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500" w:type="pct"/>
            <w:vMerge w:val="continue"/>
            <w:tcBorders>
              <w:left w:val="single" w:color="auto" w:sz="4" w:space="0"/>
              <w:right w:val="single" w:color="auto" w:sz="4" w:space="0"/>
            </w:tcBorders>
            <w:vAlign w:val="center"/>
          </w:tcPr>
          <w:p w14:paraId="0B6F2FE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434BD00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right w:val="single" w:color="auto" w:sz="4" w:space="0"/>
            </w:tcBorders>
            <w:vAlign w:val="center"/>
          </w:tcPr>
          <w:p w14:paraId="05F0023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shd w:val="clear" w:color="auto" w:fill="auto"/>
            <w:vAlign w:val="center"/>
          </w:tcPr>
          <w:p w14:paraId="2CEC849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资产位置</w:t>
            </w:r>
          </w:p>
        </w:tc>
        <w:tc>
          <w:tcPr>
            <w:tcW w:w="310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6FC29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用于资产的在单位中的归属及存放位置信息，包括管理人、管理部门、存放位置等。以管理部门为树型结构展示存放位置及管理人。</w:t>
            </w:r>
          </w:p>
        </w:tc>
      </w:tr>
      <w:tr w14:paraId="616F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500" w:type="pct"/>
            <w:vMerge w:val="continue"/>
            <w:tcBorders>
              <w:left w:val="single" w:color="auto" w:sz="4" w:space="0"/>
              <w:right w:val="single" w:color="auto" w:sz="4" w:space="0"/>
            </w:tcBorders>
            <w:vAlign w:val="center"/>
          </w:tcPr>
          <w:p w14:paraId="4B99ABD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5336E416">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right w:val="single" w:color="auto" w:sz="4" w:space="0"/>
            </w:tcBorders>
            <w:vAlign w:val="center"/>
          </w:tcPr>
          <w:p w14:paraId="6EF653B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shd w:val="clear" w:color="auto" w:fill="auto"/>
            <w:vAlign w:val="center"/>
          </w:tcPr>
          <w:p w14:paraId="7FED141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资产主数据</w:t>
            </w:r>
          </w:p>
        </w:tc>
        <w:tc>
          <w:tcPr>
            <w:tcW w:w="310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E7FD5C">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 xml:space="preserve">启用：记录同类资产的基础信息和对应数量信息，便于管理员对同类资产的统一管理，同时可实时知晓公司资产存量，同时避免多余闲置资产。仅展示启用状态的资产主数据。 </w:t>
            </w:r>
          </w:p>
          <w:p w14:paraId="029FF48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预警：展示库存量低于预警量的资产主数据信息。</w:t>
            </w:r>
          </w:p>
        </w:tc>
      </w:tr>
      <w:tr w14:paraId="6ED4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500" w:type="pct"/>
            <w:vMerge w:val="continue"/>
            <w:tcBorders>
              <w:left w:val="single" w:color="auto" w:sz="4" w:space="0"/>
              <w:right w:val="single" w:color="auto" w:sz="4" w:space="0"/>
            </w:tcBorders>
            <w:vAlign w:val="center"/>
          </w:tcPr>
          <w:p w14:paraId="407415A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6FFF3B4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restart"/>
            <w:tcBorders>
              <w:left w:val="single" w:color="auto" w:sz="4" w:space="0"/>
              <w:right w:val="single" w:color="auto" w:sz="4" w:space="0"/>
            </w:tcBorders>
            <w:vAlign w:val="center"/>
          </w:tcPr>
          <w:p w14:paraId="4709AAD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资产档案</w:t>
            </w:r>
          </w:p>
        </w:tc>
        <w:tc>
          <w:tcPr>
            <w:tcW w:w="622" w:type="pct"/>
            <w:tcBorders>
              <w:top w:val="single" w:color="auto" w:sz="4" w:space="0"/>
              <w:left w:val="single" w:color="auto" w:sz="4" w:space="0"/>
              <w:bottom w:val="single" w:color="auto" w:sz="4" w:space="0"/>
              <w:right w:val="single" w:color="auto" w:sz="4" w:space="0"/>
            </w:tcBorders>
            <w:shd w:val="clear" w:color="auto" w:fill="auto"/>
            <w:vAlign w:val="center"/>
          </w:tcPr>
          <w:p w14:paraId="75A925F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资产卡片-按类型</w:t>
            </w:r>
          </w:p>
        </w:tc>
        <w:tc>
          <w:tcPr>
            <w:tcW w:w="310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7271E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固定资产：以资产使用状态为树型或表格展示当前固定资产情况。</w:t>
            </w:r>
          </w:p>
          <w:p w14:paraId="46CF281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未使用：展示未使用资产列表。</w:t>
            </w:r>
          </w:p>
          <w:p w14:paraId="13C6FD1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处置：展示处置资产列表。</w:t>
            </w:r>
          </w:p>
          <w:p w14:paraId="77DB2B2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全部：展示全部资产列表。记录所有历史资产信息。</w:t>
            </w:r>
          </w:p>
        </w:tc>
      </w:tr>
      <w:tr w14:paraId="56A1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500" w:type="pct"/>
            <w:vMerge w:val="continue"/>
            <w:tcBorders>
              <w:left w:val="single" w:color="auto" w:sz="4" w:space="0"/>
              <w:right w:val="single" w:color="auto" w:sz="4" w:space="0"/>
            </w:tcBorders>
            <w:vAlign w:val="center"/>
          </w:tcPr>
          <w:p w14:paraId="0AC1142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7FD7DBC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right w:val="single" w:color="auto" w:sz="4" w:space="0"/>
            </w:tcBorders>
            <w:vAlign w:val="center"/>
          </w:tcPr>
          <w:p w14:paraId="5A2B33F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shd w:val="clear" w:color="auto" w:fill="auto"/>
            <w:vAlign w:val="center"/>
          </w:tcPr>
          <w:p w14:paraId="660BB02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资产卡片保养提醒</w:t>
            </w:r>
          </w:p>
        </w:tc>
        <w:tc>
          <w:tcPr>
            <w:tcW w:w="310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4432BD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记录保养计划日期即将到期的资产。</w:t>
            </w:r>
          </w:p>
        </w:tc>
      </w:tr>
      <w:tr w14:paraId="7E27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500" w:type="pct"/>
            <w:vMerge w:val="continue"/>
            <w:tcBorders>
              <w:left w:val="single" w:color="auto" w:sz="4" w:space="0"/>
              <w:right w:val="single" w:color="auto" w:sz="4" w:space="0"/>
            </w:tcBorders>
            <w:vAlign w:val="center"/>
          </w:tcPr>
          <w:p w14:paraId="7974A15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50A5719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right w:val="single" w:color="auto" w:sz="4" w:space="0"/>
            </w:tcBorders>
            <w:vAlign w:val="center"/>
          </w:tcPr>
          <w:p w14:paraId="57FE2E5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shd w:val="clear" w:color="auto" w:fill="auto"/>
            <w:vAlign w:val="center"/>
          </w:tcPr>
          <w:p w14:paraId="3FBC671D">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资产卡片续保提醒</w:t>
            </w:r>
          </w:p>
        </w:tc>
        <w:tc>
          <w:tcPr>
            <w:tcW w:w="310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E7B7E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记录保修期即将到期的资产。</w:t>
            </w:r>
          </w:p>
        </w:tc>
      </w:tr>
      <w:tr w14:paraId="45A79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500" w:type="pct"/>
            <w:vMerge w:val="continue"/>
            <w:tcBorders>
              <w:left w:val="single" w:color="auto" w:sz="4" w:space="0"/>
              <w:right w:val="single" w:color="auto" w:sz="4" w:space="0"/>
            </w:tcBorders>
            <w:vAlign w:val="center"/>
          </w:tcPr>
          <w:p w14:paraId="31C8F25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1AB7591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right w:val="single" w:color="auto" w:sz="4" w:space="0"/>
            </w:tcBorders>
            <w:vAlign w:val="center"/>
          </w:tcPr>
          <w:p w14:paraId="6B661EB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shd w:val="clear" w:color="auto" w:fill="auto"/>
            <w:vAlign w:val="center"/>
          </w:tcPr>
          <w:p w14:paraId="34ADA9D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资产卡片使用到期</w:t>
            </w:r>
          </w:p>
        </w:tc>
        <w:tc>
          <w:tcPr>
            <w:tcW w:w="310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5EAF0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记录资产使用即将到期的资产。</w:t>
            </w:r>
          </w:p>
        </w:tc>
      </w:tr>
      <w:tr w14:paraId="2E39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500" w:type="pct"/>
            <w:vMerge w:val="continue"/>
            <w:tcBorders>
              <w:left w:val="single" w:color="auto" w:sz="4" w:space="0"/>
              <w:right w:val="single" w:color="auto" w:sz="4" w:space="0"/>
            </w:tcBorders>
            <w:vAlign w:val="center"/>
          </w:tcPr>
          <w:p w14:paraId="240D110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3421BD5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left w:val="single" w:color="auto" w:sz="4" w:space="0"/>
              <w:right w:val="single" w:color="auto" w:sz="4" w:space="0"/>
            </w:tcBorders>
            <w:vAlign w:val="center"/>
          </w:tcPr>
          <w:p w14:paraId="0787949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Hans"/>
              </w:rPr>
              <w:t>资产</w:t>
            </w:r>
            <w:r>
              <w:rPr>
                <w:rFonts w:hint="eastAsia" w:ascii="方正仿宋_GBK" w:hAnsi="方正仿宋_GBK" w:eastAsia="方正仿宋_GBK" w:cs="方正仿宋_GBK"/>
                <w:color w:val="auto"/>
                <w:kern w:val="0"/>
                <w:sz w:val="21"/>
                <w:szCs w:val="21"/>
                <w:highlight w:val="none"/>
                <w:lang w:val="en-US" w:eastAsia="zh-CN"/>
              </w:rPr>
              <w:t>购置</w:t>
            </w:r>
          </w:p>
        </w:tc>
        <w:tc>
          <w:tcPr>
            <w:tcW w:w="3728"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48ECF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Hans"/>
              </w:rPr>
              <w:t>资产购置模块实现对资产购置全过程的监控和管理，提高了采购效率和透明度，降低资产采购成本和风险。包括供货商管理、采购计划管理、采购申请、采购订单、验收入库、资产接收、资产录入等模块。</w:t>
            </w:r>
          </w:p>
        </w:tc>
      </w:tr>
      <w:tr w14:paraId="7E1E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500" w:type="pct"/>
            <w:vMerge w:val="continue"/>
            <w:tcBorders>
              <w:left w:val="single" w:color="auto" w:sz="4" w:space="0"/>
              <w:right w:val="single" w:color="auto" w:sz="4" w:space="0"/>
            </w:tcBorders>
            <w:vAlign w:val="center"/>
          </w:tcPr>
          <w:p w14:paraId="148F23D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008DF95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left w:val="single" w:color="auto" w:sz="4" w:space="0"/>
              <w:right w:val="single" w:color="auto" w:sz="4" w:space="0"/>
            </w:tcBorders>
            <w:vAlign w:val="center"/>
          </w:tcPr>
          <w:p w14:paraId="7655396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资产管理</w:t>
            </w:r>
          </w:p>
        </w:tc>
        <w:tc>
          <w:tcPr>
            <w:tcW w:w="3728"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215A38A">
            <w:pPr>
              <w:spacing w:line="240" w:lineRule="auto"/>
              <w:jc w:val="left"/>
              <w:rPr>
                <w:rFonts w:hint="eastAsia" w:ascii="方正仿宋_GBK" w:hAnsi="方正仿宋_GBK" w:eastAsia="方正仿宋_GBK" w:cs="方正仿宋_GBK"/>
                <w:color w:val="auto"/>
                <w:kern w:val="0"/>
                <w:sz w:val="21"/>
                <w:szCs w:val="21"/>
                <w:highlight w:val="none"/>
                <w:lang w:val="en-US" w:eastAsia="zh-Hans"/>
              </w:rPr>
            </w:pPr>
            <w:r>
              <w:rPr>
                <w:rFonts w:hint="eastAsia" w:ascii="方正仿宋_GBK" w:hAnsi="方正仿宋_GBK" w:eastAsia="方正仿宋_GBK" w:cs="方正仿宋_GBK"/>
                <w:color w:val="auto"/>
                <w:kern w:val="0"/>
                <w:sz w:val="21"/>
                <w:szCs w:val="21"/>
                <w:highlight w:val="none"/>
                <w:lang w:val="en-US" w:eastAsia="zh-CN"/>
              </w:rPr>
              <w:t>资产使用涵盖资产在运营中的各项管理需求，提高资产使用效率，确保资产信息的准确性和实时性。包括资产领用、资产调拨、资产转移、资产借用、资产归还、资产变更模块。</w:t>
            </w:r>
          </w:p>
        </w:tc>
      </w:tr>
      <w:tr w14:paraId="27B7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500" w:type="pct"/>
            <w:vMerge w:val="continue"/>
            <w:tcBorders>
              <w:left w:val="single" w:color="auto" w:sz="4" w:space="0"/>
              <w:right w:val="single" w:color="auto" w:sz="4" w:space="0"/>
            </w:tcBorders>
            <w:vAlign w:val="center"/>
          </w:tcPr>
          <w:p w14:paraId="7642C56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3B06F3B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left w:val="single" w:color="auto" w:sz="4" w:space="0"/>
              <w:right w:val="single" w:color="auto" w:sz="4" w:space="0"/>
            </w:tcBorders>
            <w:shd w:val="clear" w:color="auto" w:fill="auto"/>
            <w:vAlign w:val="center"/>
          </w:tcPr>
          <w:p w14:paraId="14F1D94C">
            <w:pPr>
              <w:spacing w:line="240" w:lineRule="auto"/>
              <w:jc w:val="left"/>
              <w:rPr>
                <w:rFonts w:hint="eastAsia" w:ascii="方正仿宋_GBK" w:hAnsi="方正仿宋_GBK" w:eastAsia="方正仿宋_GBK" w:cs="方正仿宋_GBK"/>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rPr>
              <w:t>资产处置</w:t>
            </w:r>
          </w:p>
        </w:tc>
        <w:tc>
          <w:tcPr>
            <w:tcW w:w="3728"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84825E2">
            <w:pPr>
              <w:spacing w:line="240" w:lineRule="auto"/>
              <w:jc w:val="left"/>
              <w:rPr>
                <w:rFonts w:hint="eastAsia" w:ascii="方正仿宋_GBK" w:hAnsi="方正仿宋_GBK" w:eastAsia="方正仿宋_GBK" w:cs="方正仿宋_GBK"/>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rPr>
              <w:t>资产处置处理组织固定资产的处置流程，确保资产处置的合规性、高效性和准确性。包括处置申请、处置审批、评估与定价、报告与审计、处置报告几个模块。</w:t>
            </w:r>
          </w:p>
        </w:tc>
      </w:tr>
      <w:tr w14:paraId="1F40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500" w:type="pct"/>
            <w:vMerge w:val="continue"/>
            <w:tcBorders>
              <w:left w:val="single" w:color="auto" w:sz="4" w:space="0"/>
              <w:right w:val="single" w:color="auto" w:sz="4" w:space="0"/>
            </w:tcBorders>
            <w:vAlign w:val="center"/>
          </w:tcPr>
          <w:p w14:paraId="1A48ABD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677404D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left w:val="single" w:color="auto" w:sz="4" w:space="0"/>
              <w:right w:val="single" w:color="auto" w:sz="4" w:space="0"/>
            </w:tcBorders>
            <w:shd w:val="clear" w:color="auto" w:fill="auto"/>
            <w:vAlign w:val="center"/>
          </w:tcPr>
          <w:p w14:paraId="0FF0402D">
            <w:pPr>
              <w:spacing w:line="240" w:lineRule="auto"/>
              <w:jc w:val="left"/>
              <w:rPr>
                <w:rFonts w:hint="eastAsia" w:ascii="方正仿宋_GBK" w:hAnsi="方正仿宋_GBK" w:eastAsia="方正仿宋_GBK" w:cs="方正仿宋_GBK"/>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rPr>
              <w:t>资产盘点</w:t>
            </w:r>
          </w:p>
        </w:tc>
        <w:tc>
          <w:tcPr>
            <w:tcW w:w="3728"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FFC56D">
            <w:pPr>
              <w:spacing w:line="240" w:lineRule="auto"/>
              <w:jc w:val="left"/>
              <w:rPr>
                <w:rFonts w:hint="eastAsia" w:ascii="方正仿宋_GBK" w:hAnsi="方正仿宋_GBK" w:eastAsia="方正仿宋_GBK" w:cs="方正仿宋_GBK"/>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rPr>
              <w:t>资产盘点自动化追踪实物资产台账和财务台账，确保实物资产与财务卡片对应，满足财务管理制度与审计要求。包括盘点计划、盘点任务、现场&amp;远程盘点、数据录入、资产自查、盘点处理、清查结果、盘点明细表等模块。</w:t>
            </w:r>
          </w:p>
        </w:tc>
      </w:tr>
      <w:tr w14:paraId="0D5AF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500" w:type="pct"/>
            <w:vMerge w:val="continue"/>
            <w:tcBorders>
              <w:left w:val="single" w:color="auto" w:sz="4" w:space="0"/>
              <w:right w:val="single" w:color="auto" w:sz="4" w:space="0"/>
            </w:tcBorders>
            <w:vAlign w:val="center"/>
          </w:tcPr>
          <w:p w14:paraId="75E20D21">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450F017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left w:val="single" w:color="auto" w:sz="4" w:space="0"/>
              <w:right w:val="single" w:color="auto" w:sz="4" w:space="0"/>
            </w:tcBorders>
            <w:shd w:val="clear" w:color="auto" w:fill="auto"/>
            <w:vAlign w:val="center"/>
          </w:tcPr>
          <w:p w14:paraId="428E3E36">
            <w:pPr>
              <w:spacing w:line="240" w:lineRule="auto"/>
              <w:jc w:val="left"/>
              <w:rPr>
                <w:rFonts w:hint="eastAsia" w:ascii="方正仿宋_GBK" w:hAnsi="方正仿宋_GBK" w:eastAsia="方正仿宋_GBK" w:cs="方正仿宋_GBK"/>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rPr>
              <w:t>资产报表</w:t>
            </w:r>
          </w:p>
        </w:tc>
        <w:tc>
          <w:tcPr>
            <w:tcW w:w="3728"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8AEB558">
            <w:pPr>
              <w:spacing w:line="240" w:lineRule="auto"/>
              <w:jc w:val="left"/>
              <w:rPr>
                <w:rFonts w:hint="eastAsia" w:ascii="方正仿宋_GBK" w:hAnsi="方正仿宋_GBK" w:eastAsia="方正仿宋_GBK" w:cs="方正仿宋_GBK"/>
                <w:color w:val="auto"/>
                <w:kern w:val="0"/>
                <w:sz w:val="21"/>
                <w:szCs w:val="21"/>
                <w:highlight w:val="none"/>
                <w:lang w:val="en-US" w:eastAsia="zh-CN" w:bidi="ar-SA"/>
              </w:rPr>
            </w:pPr>
            <w:r>
              <w:rPr>
                <w:rFonts w:hint="eastAsia" w:ascii="方正仿宋_GBK" w:hAnsi="方正仿宋_GBK" w:eastAsia="方正仿宋_GBK" w:cs="方正仿宋_GBK"/>
                <w:color w:val="auto"/>
                <w:kern w:val="0"/>
                <w:sz w:val="21"/>
                <w:szCs w:val="21"/>
                <w:highlight w:val="none"/>
                <w:lang w:val="en-US" w:eastAsia="zh-CN"/>
              </w:rPr>
              <w:t>资产报表支持资产数据聚合，按照多种维度、多种资产类别，形成多维度的资产数据报表、可视化图表的展现。包括资产台账表、资产采购报表、资产明细报表、资产库存报表、资产增减报表、资产盘点报表、资产折旧报表、资产报废报表、资产租赁报表及多维自定义报表。</w:t>
            </w:r>
          </w:p>
        </w:tc>
      </w:tr>
      <w:tr w14:paraId="18729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500" w:type="pct"/>
            <w:vMerge w:val="continue"/>
            <w:tcBorders>
              <w:left w:val="single" w:color="auto" w:sz="4" w:space="0"/>
              <w:right w:val="single" w:color="auto" w:sz="4" w:space="0"/>
            </w:tcBorders>
            <w:vAlign w:val="center"/>
          </w:tcPr>
          <w:p w14:paraId="15D1084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52EF4F5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left w:val="single" w:color="auto" w:sz="4" w:space="0"/>
              <w:right w:val="single" w:color="auto" w:sz="4" w:space="0"/>
            </w:tcBorders>
            <w:vAlign w:val="center"/>
          </w:tcPr>
          <w:p w14:paraId="0FC3433C">
            <w:pPr>
              <w:spacing w:line="240" w:lineRule="auto"/>
              <w:jc w:val="left"/>
              <w:rPr>
                <w:rFonts w:hint="eastAsia" w:ascii="方正仿宋_GBK" w:hAnsi="方正仿宋_GBK" w:eastAsia="方正仿宋_GBK" w:cs="方正仿宋_GBK"/>
                <w:color w:val="auto"/>
                <w:kern w:val="0"/>
                <w:sz w:val="21"/>
                <w:szCs w:val="21"/>
                <w:highlight w:val="none"/>
                <w:lang w:val="en-US" w:eastAsia="zh-Hans"/>
              </w:rPr>
            </w:pPr>
            <w:r>
              <w:rPr>
                <w:rFonts w:hint="eastAsia" w:ascii="方正仿宋_GBK" w:hAnsi="方正仿宋_GBK" w:eastAsia="方正仿宋_GBK" w:cs="方正仿宋_GBK"/>
                <w:color w:val="auto"/>
                <w:kern w:val="0"/>
                <w:sz w:val="21"/>
                <w:szCs w:val="21"/>
                <w:highlight w:val="none"/>
                <w:lang w:val="en-US" w:eastAsia="zh-CN"/>
              </w:rPr>
              <w:t>资产折旧</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07E26017">
            <w:pPr>
              <w:spacing w:line="240" w:lineRule="auto"/>
              <w:jc w:val="left"/>
              <w:rPr>
                <w:rFonts w:hint="eastAsia" w:ascii="方正仿宋_GBK" w:hAnsi="方正仿宋_GBK" w:eastAsia="方正仿宋_GBK" w:cs="方正仿宋_GBK"/>
                <w:color w:val="auto"/>
                <w:kern w:val="0"/>
                <w:sz w:val="21"/>
                <w:szCs w:val="21"/>
                <w:highlight w:val="none"/>
                <w:lang w:val="en-US" w:eastAsia="zh-Hans"/>
              </w:rPr>
            </w:pPr>
            <w:r>
              <w:rPr>
                <w:rFonts w:hint="eastAsia" w:ascii="方正仿宋_GBK" w:hAnsi="方正仿宋_GBK" w:eastAsia="方正仿宋_GBK" w:cs="方正仿宋_GBK"/>
                <w:color w:val="auto"/>
                <w:kern w:val="0"/>
                <w:sz w:val="21"/>
                <w:szCs w:val="21"/>
                <w:highlight w:val="none"/>
                <w:lang w:val="en-US" w:eastAsia="zh-CN"/>
              </w:rPr>
              <w:t>资产折旧为组织准确反映资产的价值变化和价值评估，并为财务决策提供有力支持。包括折旧设置、折旧计算、折旧调整、折旧报表、价值评估等模块。</w:t>
            </w:r>
          </w:p>
        </w:tc>
      </w:tr>
      <w:tr w14:paraId="1500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500" w:type="pct"/>
            <w:vMerge w:val="continue"/>
            <w:tcBorders>
              <w:left w:val="single" w:color="auto" w:sz="4" w:space="0"/>
              <w:right w:val="single" w:color="auto" w:sz="4" w:space="0"/>
            </w:tcBorders>
            <w:vAlign w:val="center"/>
          </w:tcPr>
          <w:p w14:paraId="023DB7F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22F02D5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left w:val="single" w:color="auto" w:sz="4" w:space="0"/>
              <w:right w:val="single" w:color="auto" w:sz="4" w:space="0"/>
            </w:tcBorders>
            <w:vAlign w:val="center"/>
          </w:tcPr>
          <w:p w14:paraId="07AE21B0">
            <w:pPr>
              <w:spacing w:line="240" w:lineRule="auto"/>
              <w:jc w:val="left"/>
              <w:rPr>
                <w:rFonts w:hint="eastAsia" w:ascii="方正仿宋_GBK" w:hAnsi="方正仿宋_GBK" w:eastAsia="方正仿宋_GBK" w:cs="方正仿宋_GBK"/>
                <w:color w:val="auto"/>
                <w:kern w:val="0"/>
                <w:sz w:val="21"/>
                <w:szCs w:val="21"/>
                <w:highlight w:val="none"/>
                <w:lang w:val="en-US" w:eastAsia="zh-Hans"/>
              </w:rPr>
            </w:pPr>
            <w:r>
              <w:rPr>
                <w:rFonts w:hint="eastAsia" w:ascii="方正仿宋_GBK" w:hAnsi="方正仿宋_GBK" w:eastAsia="方正仿宋_GBK" w:cs="方正仿宋_GBK"/>
                <w:color w:val="auto"/>
                <w:kern w:val="0"/>
                <w:sz w:val="21"/>
                <w:szCs w:val="21"/>
                <w:highlight w:val="none"/>
                <w:lang w:val="en-US" w:eastAsia="zh-CN"/>
              </w:rPr>
              <w:t>资产维护</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29895E96">
            <w:pPr>
              <w:spacing w:line="240" w:lineRule="auto"/>
              <w:jc w:val="left"/>
              <w:rPr>
                <w:rFonts w:hint="eastAsia" w:ascii="方正仿宋_GBK" w:hAnsi="方正仿宋_GBK" w:eastAsia="方正仿宋_GBK" w:cs="方正仿宋_GBK"/>
                <w:color w:val="auto"/>
                <w:kern w:val="0"/>
                <w:sz w:val="21"/>
                <w:szCs w:val="21"/>
                <w:highlight w:val="none"/>
                <w:lang w:val="en-US" w:eastAsia="zh-Hans"/>
              </w:rPr>
            </w:pPr>
            <w:r>
              <w:rPr>
                <w:rFonts w:hint="eastAsia" w:ascii="方正仿宋_GBK" w:hAnsi="方正仿宋_GBK" w:eastAsia="方正仿宋_GBK" w:cs="方正仿宋_GBK"/>
                <w:color w:val="auto"/>
                <w:kern w:val="0"/>
                <w:sz w:val="21"/>
                <w:szCs w:val="21"/>
                <w:highlight w:val="none"/>
                <w:lang w:val="en-US" w:eastAsia="zh-CN"/>
              </w:rPr>
              <w:t>资产维护通过故障维修管理、保养计划制定、巡检计划制定、任务执行、记录管理、资产维护知识库等功能，降低资产设备故障率、延长资产使用寿命、降低资产维修成本。包括资产维修、资产保养、设备监控、巡检计划、巡检实施、移动点检、资产维护知识库、维护成本统计等模块。</w:t>
            </w:r>
          </w:p>
        </w:tc>
      </w:tr>
      <w:tr w14:paraId="288EB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500" w:type="pct"/>
            <w:vMerge w:val="continue"/>
            <w:tcBorders>
              <w:left w:val="single" w:color="auto" w:sz="4" w:space="0"/>
              <w:right w:val="single" w:color="auto" w:sz="4" w:space="0"/>
            </w:tcBorders>
            <w:vAlign w:val="center"/>
          </w:tcPr>
          <w:p w14:paraId="76DE04CD">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1E78CBC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left w:val="single" w:color="auto" w:sz="4" w:space="0"/>
              <w:bottom w:val="single" w:color="auto" w:sz="4" w:space="0"/>
              <w:right w:val="single" w:color="auto" w:sz="4" w:space="0"/>
            </w:tcBorders>
            <w:vAlign w:val="center"/>
          </w:tcPr>
          <w:p w14:paraId="705BA780">
            <w:pPr>
              <w:spacing w:line="240" w:lineRule="auto"/>
              <w:jc w:val="left"/>
              <w:rPr>
                <w:rFonts w:hint="eastAsia" w:ascii="方正仿宋_GBK" w:hAnsi="方正仿宋_GBK" w:eastAsia="方正仿宋_GBK" w:cs="方正仿宋_GBK"/>
                <w:color w:val="auto"/>
                <w:kern w:val="0"/>
                <w:sz w:val="21"/>
                <w:szCs w:val="21"/>
                <w:highlight w:val="none"/>
                <w:lang w:val="en-US" w:eastAsia="zh-Hans"/>
              </w:rPr>
            </w:pPr>
            <w:r>
              <w:rPr>
                <w:rFonts w:hint="eastAsia" w:ascii="方正仿宋_GBK" w:hAnsi="方正仿宋_GBK" w:eastAsia="方正仿宋_GBK" w:cs="方正仿宋_GBK"/>
                <w:color w:val="auto"/>
                <w:kern w:val="0"/>
                <w:sz w:val="21"/>
                <w:szCs w:val="21"/>
                <w:highlight w:val="none"/>
                <w:lang w:val="en-US" w:eastAsia="zh-CN"/>
              </w:rPr>
              <w:t>资产共享</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1F9A2F3B">
            <w:pPr>
              <w:spacing w:line="240" w:lineRule="auto"/>
              <w:jc w:val="left"/>
              <w:rPr>
                <w:rFonts w:hint="eastAsia" w:ascii="方正仿宋_GBK" w:hAnsi="方正仿宋_GBK" w:eastAsia="方正仿宋_GBK" w:cs="方正仿宋_GBK"/>
                <w:color w:val="auto"/>
                <w:kern w:val="0"/>
                <w:sz w:val="21"/>
                <w:szCs w:val="21"/>
                <w:highlight w:val="none"/>
                <w:lang w:val="en-US" w:eastAsia="zh-Hans"/>
              </w:rPr>
            </w:pPr>
            <w:r>
              <w:rPr>
                <w:rFonts w:hint="eastAsia" w:ascii="方正仿宋_GBK" w:hAnsi="方正仿宋_GBK" w:eastAsia="方正仿宋_GBK" w:cs="方正仿宋_GBK"/>
                <w:color w:val="auto"/>
                <w:kern w:val="0"/>
                <w:sz w:val="21"/>
                <w:szCs w:val="21"/>
                <w:highlight w:val="none"/>
                <w:lang w:val="en-US" w:eastAsia="zh-CN"/>
              </w:rPr>
              <w:t>通过资产的共享和共用，可以促进资源的优化配置，对资产进行合理调配，避免重复采购相同类型的资产，减少闲置和浪费，高效利用和合理配置资产，降低运营成本。包括资产共享池、共享资产登记、共享审批、动态监控、优化配置建议模块。</w:t>
            </w:r>
          </w:p>
        </w:tc>
      </w:tr>
      <w:tr w14:paraId="49AF9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500" w:type="pct"/>
            <w:vMerge w:val="continue"/>
            <w:tcBorders>
              <w:left w:val="single" w:color="auto" w:sz="4" w:space="0"/>
              <w:right w:val="single" w:color="auto" w:sz="4" w:space="0"/>
            </w:tcBorders>
            <w:vAlign w:val="center"/>
          </w:tcPr>
          <w:p w14:paraId="22FDFB6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2B7642E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top w:val="single" w:color="auto" w:sz="4" w:space="0"/>
              <w:left w:val="single" w:color="auto" w:sz="4" w:space="0"/>
              <w:bottom w:val="single" w:color="auto" w:sz="4" w:space="0"/>
              <w:right w:val="single" w:color="auto" w:sz="4" w:space="0"/>
            </w:tcBorders>
            <w:vAlign w:val="center"/>
          </w:tcPr>
          <w:p w14:paraId="1369BD1F">
            <w:pPr>
              <w:spacing w:line="240" w:lineRule="auto"/>
              <w:jc w:val="left"/>
              <w:rPr>
                <w:rFonts w:hint="eastAsia" w:ascii="方正仿宋_GBK" w:hAnsi="方正仿宋_GBK" w:eastAsia="方正仿宋_GBK" w:cs="方正仿宋_GBK"/>
                <w:color w:val="auto"/>
                <w:kern w:val="0"/>
                <w:sz w:val="21"/>
                <w:szCs w:val="21"/>
                <w:highlight w:val="none"/>
                <w:lang w:val="en-US" w:eastAsia="zh-Hans"/>
              </w:rPr>
            </w:pPr>
            <w:r>
              <w:rPr>
                <w:rFonts w:hint="eastAsia" w:ascii="方正仿宋_GBK" w:hAnsi="方正仿宋_GBK" w:eastAsia="方正仿宋_GBK" w:cs="方正仿宋_GBK"/>
                <w:color w:val="auto"/>
                <w:kern w:val="0"/>
                <w:sz w:val="21"/>
                <w:szCs w:val="21"/>
                <w:highlight w:val="none"/>
                <w:lang w:val="en-US" w:eastAsia="zh-CN"/>
              </w:rPr>
              <w:t>资产预警</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40F8CF32">
            <w:pPr>
              <w:spacing w:line="240" w:lineRule="auto"/>
              <w:jc w:val="left"/>
              <w:rPr>
                <w:rFonts w:hint="eastAsia" w:ascii="方正仿宋_GBK" w:hAnsi="方正仿宋_GBK" w:eastAsia="方正仿宋_GBK" w:cs="方正仿宋_GBK"/>
                <w:color w:val="auto"/>
                <w:kern w:val="0"/>
                <w:sz w:val="21"/>
                <w:szCs w:val="21"/>
                <w:highlight w:val="none"/>
                <w:lang w:val="en-US" w:eastAsia="zh-Hans"/>
              </w:rPr>
            </w:pPr>
            <w:r>
              <w:rPr>
                <w:rFonts w:hint="eastAsia" w:ascii="方正仿宋_GBK" w:hAnsi="方正仿宋_GBK" w:eastAsia="方正仿宋_GBK" w:cs="方正仿宋_GBK"/>
                <w:color w:val="auto"/>
                <w:kern w:val="0"/>
                <w:sz w:val="21"/>
                <w:szCs w:val="21"/>
                <w:highlight w:val="none"/>
                <w:lang w:val="en-US" w:eastAsia="zh-CN"/>
              </w:rPr>
              <w:t>通过实时监控和智能分析，提前识别并应对资产在使用、经营、维护、折旧等方面可能出现的潜在问题，以确保资产的安全、完整和高效运行。包括过期预警、限制预警、异常使用预警、维修预警、保养预警、流失预警、账实不符预警、信用风险预警、租金欠缴预警、预警规则设置。</w:t>
            </w:r>
          </w:p>
        </w:tc>
      </w:tr>
      <w:tr w14:paraId="271C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500" w:type="pct"/>
            <w:vMerge w:val="continue"/>
            <w:tcBorders>
              <w:left w:val="single" w:color="auto" w:sz="4" w:space="0"/>
              <w:right w:val="single" w:color="auto" w:sz="4" w:space="0"/>
            </w:tcBorders>
            <w:vAlign w:val="center"/>
          </w:tcPr>
          <w:p w14:paraId="51B03DC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restart"/>
            <w:tcBorders>
              <w:top w:val="single" w:color="auto" w:sz="4" w:space="0"/>
              <w:left w:val="single" w:color="auto" w:sz="4" w:space="0"/>
              <w:right w:val="single" w:color="auto" w:sz="4" w:space="0"/>
            </w:tcBorders>
            <w:vAlign w:val="center"/>
          </w:tcPr>
          <w:p w14:paraId="0DC39AF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低值易耗品管理</w:t>
            </w:r>
          </w:p>
        </w:tc>
        <w:tc>
          <w:tcPr>
            <w:tcW w:w="127" w:type="pct"/>
            <w:tcBorders>
              <w:top w:val="single" w:color="auto" w:sz="4" w:space="0"/>
              <w:left w:val="single" w:color="auto" w:sz="4" w:space="0"/>
              <w:bottom w:val="single" w:color="auto" w:sz="4" w:space="0"/>
              <w:right w:val="single" w:color="auto" w:sz="4" w:space="0"/>
            </w:tcBorders>
            <w:vAlign w:val="center"/>
          </w:tcPr>
          <w:p w14:paraId="27B17F7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基础数据管理</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6167CFE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为低值易耗品设置合理的分类和编码体系，便于后续管理和查询；录入低值易耗品的基本信息，包括名称、规格、型号、单位、单价、供应商等。</w:t>
            </w:r>
          </w:p>
        </w:tc>
      </w:tr>
      <w:tr w14:paraId="7C19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 w:type="pct"/>
            <w:vMerge w:val="continue"/>
            <w:tcBorders>
              <w:left w:val="single" w:color="auto" w:sz="4" w:space="0"/>
              <w:right w:val="single" w:color="auto" w:sz="4" w:space="0"/>
            </w:tcBorders>
            <w:vAlign w:val="center"/>
          </w:tcPr>
          <w:p w14:paraId="46501B8D">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5F06A06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top w:val="single" w:color="auto" w:sz="4" w:space="0"/>
              <w:left w:val="single" w:color="auto" w:sz="4" w:space="0"/>
              <w:bottom w:val="single" w:color="auto" w:sz="4" w:space="0"/>
              <w:right w:val="single" w:color="auto" w:sz="4" w:space="0"/>
            </w:tcBorders>
            <w:vAlign w:val="center"/>
          </w:tcPr>
          <w:p w14:paraId="1B6827AD">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采购管理</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3736264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支持员工或部门提交低值易耗品的采购申请，详细说明所需物品及数量；设置采购申请的审批流程，确保采购计划的合理性和必要性；</w:t>
            </w:r>
          </w:p>
        </w:tc>
      </w:tr>
      <w:tr w14:paraId="4654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500" w:type="pct"/>
            <w:vMerge w:val="continue"/>
            <w:tcBorders>
              <w:left w:val="single" w:color="auto" w:sz="4" w:space="0"/>
              <w:right w:val="single" w:color="auto" w:sz="4" w:space="0"/>
            </w:tcBorders>
            <w:vAlign w:val="center"/>
          </w:tcPr>
          <w:p w14:paraId="4C96453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1E2C285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top w:val="single" w:color="auto" w:sz="4" w:space="0"/>
              <w:left w:val="single" w:color="auto" w:sz="4" w:space="0"/>
              <w:bottom w:val="single" w:color="auto" w:sz="4" w:space="0"/>
              <w:right w:val="single" w:color="auto" w:sz="4" w:space="0"/>
            </w:tcBorders>
            <w:vAlign w:val="center"/>
          </w:tcPr>
          <w:p w14:paraId="72DC9F3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入库管理</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3A428976">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支持入库登记，记录到货数量、批次、有效期等信息；入库后自动更新库存数量，确保库存数据的准确性。</w:t>
            </w:r>
          </w:p>
        </w:tc>
      </w:tr>
      <w:tr w14:paraId="7495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500" w:type="pct"/>
            <w:vMerge w:val="continue"/>
            <w:tcBorders>
              <w:left w:val="single" w:color="auto" w:sz="4" w:space="0"/>
              <w:right w:val="single" w:color="auto" w:sz="4" w:space="0"/>
            </w:tcBorders>
            <w:vAlign w:val="center"/>
          </w:tcPr>
          <w:p w14:paraId="69365B8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26AE5D16">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top w:val="single" w:color="auto" w:sz="4" w:space="0"/>
              <w:left w:val="single" w:color="auto" w:sz="4" w:space="0"/>
              <w:bottom w:val="single" w:color="auto" w:sz="4" w:space="0"/>
              <w:right w:val="single" w:color="auto" w:sz="4" w:space="0"/>
            </w:tcBorders>
            <w:vAlign w:val="center"/>
          </w:tcPr>
          <w:p w14:paraId="0E2CEF6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领用管理</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6E5AADF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员工或部门提交低值易耗品的领用申请，明确用途和数量；设置领用审批流程，审批通过后发放物品，并记录领用信息；保存完整的领用记录，便于后续追踪和审计。</w:t>
            </w:r>
          </w:p>
        </w:tc>
      </w:tr>
      <w:tr w14:paraId="31F1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500" w:type="pct"/>
            <w:vMerge w:val="continue"/>
            <w:tcBorders>
              <w:left w:val="single" w:color="auto" w:sz="4" w:space="0"/>
              <w:right w:val="single" w:color="auto" w:sz="4" w:space="0"/>
            </w:tcBorders>
            <w:vAlign w:val="center"/>
          </w:tcPr>
          <w:p w14:paraId="6068FD0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2DF5B07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top w:val="single" w:color="auto" w:sz="4" w:space="0"/>
              <w:left w:val="single" w:color="auto" w:sz="4" w:space="0"/>
              <w:bottom w:val="single" w:color="auto" w:sz="4" w:space="0"/>
              <w:right w:val="single" w:color="auto" w:sz="4" w:space="0"/>
            </w:tcBorders>
            <w:vAlign w:val="center"/>
          </w:tcPr>
          <w:p w14:paraId="4EC02B0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库存管理</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4DB5A76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定期进行库存盘点，核对实物与系统数据的一致性；设置库存预警阈值，当库存低于设定值时自动提醒补货；生成库存报表，展示库存总量、各类物品库存情况等信息。</w:t>
            </w:r>
          </w:p>
        </w:tc>
      </w:tr>
      <w:tr w14:paraId="4DE5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500" w:type="pct"/>
            <w:vMerge w:val="continue"/>
            <w:tcBorders>
              <w:left w:val="single" w:color="auto" w:sz="4" w:space="0"/>
              <w:right w:val="single" w:color="auto" w:sz="4" w:space="0"/>
            </w:tcBorders>
            <w:vAlign w:val="center"/>
          </w:tcPr>
          <w:p w14:paraId="24770EC6">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7B3540E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top w:val="single" w:color="auto" w:sz="4" w:space="0"/>
              <w:left w:val="single" w:color="auto" w:sz="4" w:space="0"/>
              <w:bottom w:val="single" w:color="auto" w:sz="4" w:space="0"/>
              <w:right w:val="single" w:color="auto" w:sz="4" w:space="0"/>
            </w:tcBorders>
            <w:vAlign w:val="center"/>
          </w:tcPr>
          <w:p w14:paraId="1BD3342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报废与处置</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388E060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对于损坏、过期或不再使用的低值易耗品，提交报废申请；经过审批后，对报废物品进行处置，并记录相关信息；统计报废物品的种类、数量和价值，分析报废原因。</w:t>
            </w:r>
          </w:p>
        </w:tc>
      </w:tr>
      <w:tr w14:paraId="38FB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 w:type="pct"/>
            <w:vMerge w:val="continue"/>
            <w:tcBorders>
              <w:left w:val="single" w:color="auto" w:sz="4" w:space="0"/>
              <w:right w:val="single" w:color="auto" w:sz="4" w:space="0"/>
            </w:tcBorders>
            <w:vAlign w:val="center"/>
          </w:tcPr>
          <w:p w14:paraId="425FD04C">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bottom w:val="single" w:color="auto" w:sz="4" w:space="0"/>
              <w:right w:val="single" w:color="auto" w:sz="4" w:space="0"/>
            </w:tcBorders>
            <w:vAlign w:val="center"/>
          </w:tcPr>
          <w:p w14:paraId="638E165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tcBorders>
              <w:top w:val="single" w:color="auto" w:sz="4" w:space="0"/>
              <w:left w:val="single" w:color="auto" w:sz="4" w:space="0"/>
              <w:bottom w:val="single" w:color="auto" w:sz="4" w:space="0"/>
              <w:right w:val="single" w:color="auto" w:sz="4" w:space="0"/>
            </w:tcBorders>
            <w:vAlign w:val="center"/>
          </w:tcPr>
          <w:p w14:paraId="1CD87E0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统计分析与报表</w:t>
            </w:r>
          </w:p>
        </w:tc>
        <w:tc>
          <w:tcPr>
            <w:tcW w:w="3728" w:type="pct"/>
            <w:gridSpan w:val="3"/>
            <w:tcBorders>
              <w:top w:val="single" w:color="auto" w:sz="4" w:space="0"/>
              <w:left w:val="single" w:color="auto" w:sz="4" w:space="0"/>
              <w:bottom w:val="single" w:color="auto" w:sz="4" w:space="0"/>
              <w:right w:val="single" w:color="auto" w:sz="4" w:space="0"/>
            </w:tcBorders>
            <w:vAlign w:val="center"/>
          </w:tcPr>
          <w:p w14:paraId="3857BE5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分析低值易耗品的使用情况，如领用频率、使用量等；</w:t>
            </w:r>
          </w:p>
          <w:p w14:paraId="198DAF5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计算低值易耗品的采购成本和使用成本，评估成本控制效果；生成各类报表，如采购报表、库存报表、领用报表等，供管理人员参考和决策。</w:t>
            </w:r>
          </w:p>
        </w:tc>
      </w:tr>
      <w:tr w14:paraId="27419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vMerge w:val="continue"/>
            <w:tcBorders>
              <w:left w:val="single" w:color="auto" w:sz="4" w:space="0"/>
              <w:right w:val="single" w:color="auto" w:sz="4" w:space="0"/>
            </w:tcBorders>
            <w:vAlign w:val="center"/>
          </w:tcPr>
          <w:p w14:paraId="60422E7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restart"/>
            <w:tcBorders>
              <w:top w:val="single" w:color="auto" w:sz="4" w:space="0"/>
              <w:left w:val="single" w:color="auto" w:sz="4" w:space="0"/>
              <w:right w:val="single" w:color="auto" w:sz="4" w:space="0"/>
            </w:tcBorders>
            <w:vAlign w:val="center"/>
          </w:tcPr>
          <w:p w14:paraId="2171987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经营性资产</w:t>
            </w:r>
          </w:p>
        </w:tc>
        <w:tc>
          <w:tcPr>
            <w:tcW w:w="127" w:type="pct"/>
            <w:vMerge w:val="restart"/>
            <w:tcBorders>
              <w:top w:val="single" w:color="auto" w:sz="4" w:space="0"/>
              <w:left w:val="single" w:color="auto" w:sz="4" w:space="0"/>
              <w:right w:val="single" w:color="auto" w:sz="4" w:space="0"/>
            </w:tcBorders>
            <w:vAlign w:val="center"/>
          </w:tcPr>
          <w:p w14:paraId="2DD29B5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资产配置</w:t>
            </w:r>
          </w:p>
        </w:tc>
        <w:tc>
          <w:tcPr>
            <w:tcW w:w="622" w:type="pct"/>
            <w:tcBorders>
              <w:top w:val="single" w:color="auto" w:sz="4" w:space="0"/>
              <w:left w:val="single" w:color="auto" w:sz="4" w:space="0"/>
              <w:bottom w:val="single" w:color="auto" w:sz="4" w:space="0"/>
              <w:right w:val="single" w:color="auto" w:sz="4" w:space="0"/>
            </w:tcBorders>
            <w:vAlign w:val="center"/>
          </w:tcPr>
          <w:p w14:paraId="5427A17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资产信息新增</w:t>
            </w:r>
          </w:p>
        </w:tc>
        <w:tc>
          <w:tcPr>
            <w:tcW w:w="3106" w:type="pct"/>
            <w:gridSpan w:val="2"/>
            <w:tcBorders>
              <w:top w:val="single" w:color="auto" w:sz="4" w:space="0"/>
              <w:left w:val="single" w:color="auto" w:sz="4" w:space="0"/>
              <w:bottom w:val="single" w:color="auto" w:sz="4" w:space="0"/>
              <w:right w:val="single" w:color="auto" w:sz="4" w:space="0"/>
            </w:tcBorders>
            <w:vAlign w:val="center"/>
          </w:tcPr>
          <w:p w14:paraId="42F64DA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建立资产信息新增流程，流程结束生成资产档案</w:t>
            </w:r>
          </w:p>
        </w:tc>
      </w:tr>
      <w:tr w14:paraId="75D2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vMerge w:val="continue"/>
            <w:tcBorders>
              <w:left w:val="single" w:color="auto" w:sz="4" w:space="0"/>
              <w:right w:val="single" w:color="auto" w:sz="4" w:space="0"/>
            </w:tcBorders>
            <w:vAlign w:val="center"/>
          </w:tcPr>
          <w:p w14:paraId="08EFEB76">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6300CCFC">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right w:val="single" w:color="auto" w:sz="4" w:space="0"/>
            </w:tcBorders>
            <w:vAlign w:val="center"/>
          </w:tcPr>
          <w:p w14:paraId="7EA0808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vAlign w:val="center"/>
          </w:tcPr>
          <w:p w14:paraId="55490EC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产权单位维护</w:t>
            </w:r>
          </w:p>
        </w:tc>
        <w:tc>
          <w:tcPr>
            <w:tcW w:w="3106" w:type="pct"/>
            <w:gridSpan w:val="2"/>
            <w:tcBorders>
              <w:top w:val="single" w:color="auto" w:sz="4" w:space="0"/>
              <w:left w:val="single" w:color="auto" w:sz="4" w:space="0"/>
              <w:bottom w:val="single" w:color="auto" w:sz="4" w:space="0"/>
              <w:right w:val="single" w:color="auto" w:sz="4" w:space="0"/>
            </w:tcBorders>
            <w:vAlign w:val="center"/>
          </w:tcPr>
          <w:p w14:paraId="1D5BAC9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建立产权单位档案，资产产权所属单位自动关联。</w:t>
            </w:r>
          </w:p>
        </w:tc>
      </w:tr>
      <w:tr w14:paraId="5048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vMerge w:val="continue"/>
            <w:tcBorders>
              <w:left w:val="single" w:color="auto" w:sz="4" w:space="0"/>
              <w:right w:val="single" w:color="auto" w:sz="4" w:space="0"/>
            </w:tcBorders>
            <w:vAlign w:val="center"/>
          </w:tcPr>
          <w:p w14:paraId="513D035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4F5ECE5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right w:val="single" w:color="auto" w:sz="4" w:space="0"/>
            </w:tcBorders>
            <w:vAlign w:val="center"/>
          </w:tcPr>
          <w:p w14:paraId="4105BD4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vAlign w:val="center"/>
          </w:tcPr>
          <w:p w14:paraId="17BE99F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资产维修维护申请表</w:t>
            </w:r>
          </w:p>
        </w:tc>
        <w:tc>
          <w:tcPr>
            <w:tcW w:w="3106" w:type="pct"/>
            <w:gridSpan w:val="2"/>
            <w:tcBorders>
              <w:top w:val="single" w:color="auto" w:sz="4" w:space="0"/>
              <w:left w:val="single" w:color="auto" w:sz="4" w:space="0"/>
              <w:bottom w:val="single" w:color="auto" w:sz="4" w:space="0"/>
              <w:right w:val="single" w:color="auto" w:sz="4" w:space="0"/>
            </w:tcBorders>
            <w:vAlign w:val="center"/>
          </w:tcPr>
          <w:p w14:paraId="5BB3CA7F">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建立线上资产维修维护申请流程，支持关联选择资产档案，流程结束形成资产维修维护申请数据，支持按各种维护统计资产维修维护数据。</w:t>
            </w:r>
          </w:p>
        </w:tc>
      </w:tr>
      <w:tr w14:paraId="65AA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 w:type="pct"/>
            <w:vMerge w:val="continue"/>
            <w:tcBorders>
              <w:left w:val="single" w:color="auto" w:sz="4" w:space="0"/>
              <w:right w:val="single" w:color="auto" w:sz="4" w:space="0"/>
            </w:tcBorders>
            <w:vAlign w:val="center"/>
          </w:tcPr>
          <w:p w14:paraId="27BC7CFC">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2D117DE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bottom w:val="single" w:color="auto" w:sz="4" w:space="0"/>
              <w:right w:val="single" w:color="auto" w:sz="4" w:space="0"/>
            </w:tcBorders>
            <w:vAlign w:val="center"/>
          </w:tcPr>
          <w:p w14:paraId="52CDEE8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vAlign w:val="center"/>
          </w:tcPr>
          <w:p w14:paraId="2C765801">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资产移交协议申请</w:t>
            </w:r>
          </w:p>
        </w:tc>
        <w:tc>
          <w:tcPr>
            <w:tcW w:w="3106" w:type="pct"/>
            <w:gridSpan w:val="2"/>
            <w:tcBorders>
              <w:top w:val="single" w:color="auto" w:sz="4" w:space="0"/>
              <w:left w:val="single" w:color="auto" w:sz="4" w:space="0"/>
              <w:bottom w:val="single" w:color="auto" w:sz="4" w:space="0"/>
              <w:right w:val="single" w:color="auto" w:sz="4" w:space="0"/>
            </w:tcBorders>
            <w:vAlign w:val="center"/>
          </w:tcPr>
          <w:p w14:paraId="1C71E7B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建立资产移交协议申请流程，经过资产移交协议申请流程后确定正式移交资产，流程结束更新资产移交后信息。</w:t>
            </w:r>
          </w:p>
        </w:tc>
      </w:tr>
      <w:tr w14:paraId="3A28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 w:type="pct"/>
            <w:vMerge w:val="continue"/>
            <w:tcBorders>
              <w:left w:val="single" w:color="auto" w:sz="4" w:space="0"/>
              <w:right w:val="single" w:color="auto" w:sz="4" w:space="0"/>
            </w:tcBorders>
            <w:vAlign w:val="center"/>
          </w:tcPr>
          <w:p w14:paraId="2C298E5B">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3B376D4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restart"/>
            <w:tcBorders>
              <w:top w:val="single" w:color="auto" w:sz="4" w:space="0"/>
              <w:left w:val="single" w:color="auto" w:sz="4" w:space="0"/>
              <w:right w:val="single" w:color="auto" w:sz="4" w:space="0"/>
            </w:tcBorders>
            <w:vAlign w:val="center"/>
          </w:tcPr>
          <w:p w14:paraId="5B0BCAE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资产租赁</w:t>
            </w:r>
          </w:p>
        </w:tc>
        <w:tc>
          <w:tcPr>
            <w:tcW w:w="622" w:type="pct"/>
            <w:tcBorders>
              <w:top w:val="single" w:color="auto" w:sz="4" w:space="0"/>
              <w:left w:val="single" w:color="auto" w:sz="4" w:space="0"/>
              <w:bottom w:val="single" w:color="auto" w:sz="4" w:space="0"/>
              <w:right w:val="single" w:color="auto" w:sz="4" w:space="0"/>
            </w:tcBorders>
            <w:vAlign w:val="center"/>
          </w:tcPr>
          <w:p w14:paraId="11DFBA3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房源信息</w:t>
            </w:r>
          </w:p>
        </w:tc>
        <w:tc>
          <w:tcPr>
            <w:tcW w:w="3106" w:type="pct"/>
            <w:gridSpan w:val="2"/>
            <w:tcBorders>
              <w:top w:val="single" w:color="auto" w:sz="4" w:space="0"/>
              <w:left w:val="single" w:color="auto" w:sz="4" w:space="0"/>
              <w:bottom w:val="single" w:color="auto" w:sz="4" w:space="0"/>
              <w:right w:val="single" w:color="auto" w:sz="4" w:space="0"/>
            </w:tcBorders>
            <w:vAlign w:val="center"/>
          </w:tcPr>
          <w:p w14:paraId="737EB45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支持展示房源状态及数量、面积、租赁信息（通过合同流程自动更新）等。</w:t>
            </w:r>
          </w:p>
        </w:tc>
      </w:tr>
      <w:tr w14:paraId="2AE9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500" w:type="pct"/>
            <w:vMerge w:val="continue"/>
            <w:tcBorders>
              <w:left w:val="single" w:color="auto" w:sz="4" w:space="0"/>
              <w:right w:val="single" w:color="auto" w:sz="4" w:space="0"/>
            </w:tcBorders>
            <w:vAlign w:val="center"/>
          </w:tcPr>
          <w:p w14:paraId="5BCD5F5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2C1C20F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right w:val="single" w:color="auto" w:sz="4" w:space="0"/>
            </w:tcBorders>
            <w:vAlign w:val="center"/>
          </w:tcPr>
          <w:p w14:paraId="3E8EB1F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vAlign w:val="center"/>
          </w:tcPr>
          <w:p w14:paraId="02B4F1A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租赁合同管理</w:t>
            </w:r>
          </w:p>
        </w:tc>
        <w:tc>
          <w:tcPr>
            <w:tcW w:w="3106" w:type="pct"/>
            <w:gridSpan w:val="2"/>
            <w:tcBorders>
              <w:top w:val="single" w:color="auto" w:sz="4" w:space="0"/>
              <w:left w:val="single" w:color="auto" w:sz="4" w:space="0"/>
              <w:bottom w:val="single" w:color="auto" w:sz="4" w:space="0"/>
              <w:right w:val="single" w:color="auto" w:sz="4" w:space="0"/>
            </w:tcBorders>
            <w:vAlign w:val="center"/>
          </w:tcPr>
          <w:p w14:paraId="19A37AE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支持合同发起、审核、归档工作流程。支持自动生成租赁合同台账，记录如租赁起止时间、承租人、租金情况等。</w:t>
            </w:r>
          </w:p>
        </w:tc>
      </w:tr>
      <w:tr w14:paraId="531E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500" w:type="pct"/>
            <w:vMerge w:val="continue"/>
            <w:tcBorders>
              <w:left w:val="single" w:color="auto" w:sz="4" w:space="0"/>
              <w:right w:val="single" w:color="auto" w:sz="4" w:space="0"/>
            </w:tcBorders>
            <w:vAlign w:val="center"/>
          </w:tcPr>
          <w:p w14:paraId="59D25AE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09A95E3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right w:val="single" w:color="auto" w:sz="4" w:space="0"/>
            </w:tcBorders>
            <w:vAlign w:val="center"/>
          </w:tcPr>
          <w:p w14:paraId="1A2C35B6">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vAlign w:val="center"/>
          </w:tcPr>
          <w:p w14:paraId="29C85261">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租户档案管理</w:t>
            </w:r>
          </w:p>
        </w:tc>
        <w:tc>
          <w:tcPr>
            <w:tcW w:w="3106" w:type="pct"/>
            <w:gridSpan w:val="2"/>
            <w:tcBorders>
              <w:top w:val="single" w:color="auto" w:sz="4" w:space="0"/>
              <w:left w:val="single" w:color="auto" w:sz="4" w:space="0"/>
              <w:bottom w:val="single" w:color="auto" w:sz="4" w:space="0"/>
              <w:right w:val="single" w:color="auto" w:sz="4" w:space="0"/>
            </w:tcBorders>
            <w:vAlign w:val="center"/>
          </w:tcPr>
          <w:p w14:paraId="58317B11">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建立租户档案，对租户的类别、名称、识别号、联系方式等建档，便于后续管理和沟通。</w:t>
            </w:r>
          </w:p>
        </w:tc>
      </w:tr>
      <w:tr w14:paraId="47EC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500" w:type="pct"/>
            <w:vMerge w:val="continue"/>
            <w:tcBorders>
              <w:left w:val="single" w:color="auto" w:sz="4" w:space="0"/>
              <w:right w:val="single" w:color="auto" w:sz="4" w:space="0"/>
            </w:tcBorders>
            <w:vAlign w:val="center"/>
          </w:tcPr>
          <w:p w14:paraId="3A04B6D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right w:val="single" w:color="auto" w:sz="4" w:space="0"/>
            </w:tcBorders>
            <w:vAlign w:val="center"/>
          </w:tcPr>
          <w:p w14:paraId="56526131">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bottom w:val="single" w:color="auto" w:sz="4" w:space="0"/>
              <w:right w:val="single" w:color="auto" w:sz="4" w:space="0"/>
            </w:tcBorders>
            <w:vAlign w:val="center"/>
          </w:tcPr>
          <w:p w14:paraId="7DF71EF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vAlign w:val="center"/>
          </w:tcPr>
          <w:p w14:paraId="7044809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租金押金管理</w:t>
            </w:r>
          </w:p>
        </w:tc>
        <w:tc>
          <w:tcPr>
            <w:tcW w:w="3106" w:type="pct"/>
            <w:gridSpan w:val="2"/>
            <w:tcBorders>
              <w:top w:val="single" w:color="auto" w:sz="4" w:space="0"/>
              <w:left w:val="single" w:color="auto" w:sz="4" w:space="0"/>
              <w:bottom w:val="single" w:color="auto" w:sz="4" w:space="0"/>
              <w:right w:val="single" w:color="auto" w:sz="4" w:space="0"/>
            </w:tcBorders>
            <w:vAlign w:val="center"/>
          </w:tcPr>
          <w:p w14:paraId="34270E3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支持租金和押金的自动计算、收取、记录及查询。提供缴费数据导出、导入功能。</w:t>
            </w:r>
          </w:p>
        </w:tc>
      </w:tr>
      <w:tr w14:paraId="1A30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500" w:type="pct"/>
            <w:vMerge w:val="continue"/>
            <w:tcBorders>
              <w:left w:val="single" w:color="auto" w:sz="4" w:space="0"/>
              <w:right w:val="single" w:color="auto" w:sz="4" w:space="0"/>
            </w:tcBorders>
            <w:vAlign w:val="center"/>
          </w:tcPr>
          <w:p w14:paraId="5E4C661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bottom w:val="single" w:color="auto" w:sz="4" w:space="0"/>
              <w:right w:val="single" w:color="auto" w:sz="4" w:space="0"/>
            </w:tcBorders>
            <w:vAlign w:val="center"/>
          </w:tcPr>
          <w:p w14:paraId="19C166A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restart"/>
            <w:tcBorders>
              <w:top w:val="single" w:color="auto" w:sz="4" w:space="0"/>
              <w:left w:val="single" w:color="auto" w:sz="4" w:space="0"/>
              <w:right w:val="single" w:color="auto" w:sz="4" w:space="0"/>
            </w:tcBorders>
            <w:vAlign w:val="center"/>
          </w:tcPr>
          <w:p w14:paraId="4167FB5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到期逾期管理</w:t>
            </w:r>
          </w:p>
        </w:tc>
        <w:tc>
          <w:tcPr>
            <w:tcW w:w="622" w:type="pct"/>
            <w:tcBorders>
              <w:top w:val="single" w:color="auto" w:sz="4" w:space="0"/>
              <w:left w:val="single" w:color="auto" w:sz="4" w:space="0"/>
              <w:bottom w:val="single" w:color="auto" w:sz="4" w:space="0"/>
              <w:right w:val="single" w:color="auto" w:sz="4" w:space="0"/>
            </w:tcBorders>
            <w:vAlign w:val="center"/>
          </w:tcPr>
          <w:p w14:paraId="51FA384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合约到期</w:t>
            </w:r>
          </w:p>
        </w:tc>
        <w:tc>
          <w:tcPr>
            <w:tcW w:w="3106" w:type="pct"/>
            <w:gridSpan w:val="2"/>
            <w:tcBorders>
              <w:top w:val="single" w:color="auto" w:sz="4" w:space="0"/>
              <w:left w:val="single" w:color="auto" w:sz="4" w:space="0"/>
              <w:bottom w:val="single" w:color="auto" w:sz="4" w:space="0"/>
              <w:right w:val="single" w:color="auto" w:sz="4" w:space="0"/>
            </w:tcBorders>
            <w:vAlign w:val="center"/>
          </w:tcPr>
          <w:p w14:paraId="38E9CF9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合约到期前触发提醒给管理人员，提醒租户续租，避免合同逾期或纠纷。</w:t>
            </w:r>
          </w:p>
        </w:tc>
      </w:tr>
      <w:tr w14:paraId="71C6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500" w:type="pct"/>
            <w:vMerge w:val="continue"/>
            <w:tcBorders>
              <w:left w:val="single" w:color="auto" w:sz="4" w:space="0"/>
              <w:right w:val="single" w:color="auto" w:sz="4" w:space="0"/>
            </w:tcBorders>
            <w:vAlign w:val="center"/>
          </w:tcPr>
          <w:p w14:paraId="0C46273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vMerge w:val="continue"/>
            <w:tcBorders>
              <w:left w:val="single" w:color="auto" w:sz="4" w:space="0"/>
              <w:bottom w:val="single" w:color="auto" w:sz="4" w:space="0"/>
              <w:right w:val="single" w:color="auto" w:sz="4" w:space="0"/>
            </w:tcBorders>
            <w:vAlign w:val="center"/>
          </w:tcPr>
          <w:p w14:paraId="4F789534">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127" w:type="pct"/>
            <w:vMerge w:val="continue"/>
            <w:tcBorders>
              <w:left w:val="single" w:color="auto" w:sz="4" w:space="0"/>
              <w:bottom w:val="single" w:color="auto" w:sz="4" w:space="0"/>
              <w:right w:val="single" w:color="auto" w:sz="4" w:space="0"/>
            </w:tcBorders>
            <w:vAlign w:val="center"/>
          </w:tcPr>
          <w:p w14:paraId="20F2ADE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22" w:type="pct"/>
            <w:tcBorders>
              <w:top w:val="single" w:color="auto" w:sz="4" w:space="0"/>
              <w:left w:val="single" w:color="auto" w:sz="4" w:space="0"/>
              <w:bottom w:val="single" w:color="auto" w:sz="4" w:space="0"/>
              <w:right w:val="single" w:color="auto" w:sz="4" w:space="0"/>
            </w:tcBorders>
            <w:vAlign w:val="center"/>
          </w:tcPr>
          <w:p w14:paraId="320C212E">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租金催缴</w:t>
            </w:r>
          </w:p>
        </w:tc>
        <w:tc>
          <w:tcPr>
            <w:tcW w:w="3106" w:type="pct"/>
            <w:gridSpan w:val="2"/>
            <w:tcBorders>
              <w:top w:val="single" w:color="auto" w:sz="4" w:space="0"/>
              <w:left w:val="single" w:color="auto" w:sz="4" w:space="0"/>
              <w:bottom w:val="single" w:color="auto" w:sz="4" w:space="0"/>
              <w:right w:val="single" w:color="auto" w:sz="4" w:space="0"/>
            </w:tcBorders>
            <w:vAlign w:val="center"/>
          </w:tcPr>
          <w:p w14:paraId="7BDC5E5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根据租赁合同档案未收款的账单数据，生成催缴费通知单进行款项催收。</w:t>
            </w:r>
          </w:p>
        </w:tc>
      </w:tr>
      <w:tr w14:paraId="152B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Pr>
        <w:tc>
          <w:tcPr>
            <w:tcW w:w="500" w:type="pct"/>
            <w:vMerge w:val="restart"/>
            <w:tcBorders>
              <w:top w:val="single" w:color="auto" w:sz="4" w:space="0"/>
              <w:left w:val="single" w:color="auto" w:sz="4" w:space="0"/>
              <w:right w:val="single" w:color="auto" w:sz="4" w:space="0"/>
            </w:tcBorders>
            <w:vAlign w:val="center"/>
          </w:tcPr>
          <w:p w14:paraId="5968BC85">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接口与对接</w:t>
            </w:r>
          </w:p>
        </w:tc>
        <w:tc>
          <w:tcPr>
            <w:tcW w:w="643" w:type="pct"/>
            <w:tcBorders>
              <w:top w:val="single" w:color="auto" w:sz="4" w:space="0"/>
              <w:left w:val="single" w:color="auto" w:sz="4" w:space="0"/>
              <w:bottom w:val="single" w:color="auto" w:sz="4" w:space="0"/>
              <w:right w:val="single" w:color="auto" w:sz="4" w:space="0"/>
            </w:tcBorders>
            <w:vAlign w:val="center"/>
          </w:tcPr>
          <w:p w14:paraId="48E5A437">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接口</w:t>
            </w:r>
          </w:p>
        </w:tc>
        <w:tc>
          <w:tcPr>
            <w:tcW w:w="3815" w:type="pct"/>
            <w:gridSpan w:val="3"/>
            <w:tcBorders>
              <w:top w:val="single" w:color="auto" w:sz="4" w:space="0"/>
              <w:left w:val="single" w:color="auto" w:sz="4" w:space="0"/>
              <w:bottom w:val="single" w:color="auto" w:sz="4" w:space="0"/>
              <w:right w:val="single" w:color="auto" w:sz="4" w:space="0"/>
            </w:tcBorders>
            <w:vAlign w:val="center"/>
          </w:tcPr>
          <w:p w14:paraId="321487B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系统提供数据交换引擎，支持配置运行状态下的第三方系统数据源；提供数据交换任务的可视化集成开发工具，封装丰富的底层集成功能，支持与主流异构系统集成；具有向导式任务流程配置（来源、转换、目标），以及多种交换方式。</w:t>
            </w:r>
          </w:p>
        </w:tc>
      </w:tr>
      <w:tr w14:paraId="5578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pct"/>
        </w:trPr>
        <w:tc>
          <w:tcPr>
            <w:tcW w:w="500" w:type="pct"/>
            <w:vMerge w:val="continue"/>
            <w:tcBorders>
              <w:left w:val="single" w:color="auto" w:sz="4" w:space="0"/>
              <w:bottom w:val="single" w:color="auto" w:sz="4" w:space="0"/>
              <w:right w:val="single" w:color="auto" w:sz="4" w:space="0"/>
            </w:tcBorders>
            <w:vAlign w:val="center"/>
          </w:tcPr>
          <w:p w14:paraId="60C6DD9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643" w:type="pct"/>
            <w:tcBorders>
              <w:top w:val="single" w:color="auto" w:sz="4" w:space="0"/>
              <w:left w:val="single" w:color="auto" w:sz="4" w:space="0"/>
              <w:bottom w:val="single" w:color="auto" w:sz="4" w:space="0"/>
              <w:right w:val="single" w:color="auto" w:sz="4" w:space="0"/>
            </w:tcBorders>
            <w:vAlign w:val="center"/>
          </w:tcPr>
          <w:p w14:paraId="6A9A49F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对接</w:t>
            </w:r>
          </w:p>
        </w:tc>
        <w:tc>
          <w:tcPr>
            <w:tcW w:w="3815" w:type="pct"/>
            <w:gridSpan w:val="3"/>
            <w:tcBorders>
              <w:top w:val="single" w:color="auto" w:sz="4" w:space="0"/>
              <w:left w:val="single" w:color="auto" w:sz="4" w:space="0"/>
              <w:bottom w:val="single" w:color="auto" w:sz="4" w:space="0"/>
              <w:right w:val="single" w:color="auto" w:sz="4" w:space="0"/>
            </w:tcBorders>
            <w:vAlign w:val="center"/>
          </w:tcPr>
          <w:p w14:paraId="73AFB33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对接集团资产管理系统，实现资产登记管理数据同步；</w:t>
            </w:r>
          </w:p>
          <w:p w14:paraId="22221B39">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对接集团OA系统，实现集团发文，本系统阅办转发到子公司；</w:t>
            </w:r>
          </w:p>
          <w:p w14:paraId="1AA6AAC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对接公司档案管理系统，实现单点登录和收发文归档。</w:t>
            </w:r>
          </w:p>
        </w:tc>
      </w:tr>
    </w:tbl>
    <w:p w14:paraId="4847544C">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2. 固定资产盘点服务</w:t>
      </w:r>
    </w:p>
    <w:p w14:paraId="00BBFD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为实现资产与财务账账相符、资产与实物账实相符，推进资产管理与财务管理深度融合，加强对公司的规范化管理，提升资产使用效益，特开展资产清查盘点服务项目。同时，为提升资产识别与管理效率，符合国有企业信息化管理标准，需采购 RFID 标签2000张及树脂碳带，完成约2000件资产的标签张贴工作，借助先进的 RFID 技术，实现“一物一卡一条码”的精细化管理目标，为企业日常运营及降本工作提供坚实的资产保障。服务实施要求如下：</w:t>
      </w:r>
    </w:p>
    <w:p w14:paraId="7C9047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本项服务由供应商派驻作业团队实施，作业期间的现场组织、进度协调、与业主单位资产管理部门的对接及成果汇总，由采购人项目经理统一安排；供应商派驻人员应服从采购人及业主单位的现场管理要求。</w:t>
      </w:r>
    </w:p>
    <w:p w14:paraId="6E102F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清查盘点与信息登记：新建资产管理系统，对我司约2000件资产进行全面、细致的清查盘点，具体涵盖对账依据整理、资产盘点、实物照片建立电子档、账实核对、盘亏责任落实、资产系统数据调整、资产标签打印等核心工作。在盘点过程中，深入各部门、各场所，对每件资产的名称、品牌、规格型号、购置时间等基本信息进行详细核对，重点登记资产存放位置、使用部门、使用人、归属、核心用途等信息，建立一物一档。对于信息不完整或存在疑问的资产，及时与相关人员沟通核实，确保资产清查记录准确无误，与实物资产一一对应，并形成详细的资产清查明细表。</w:t>
      </w:r>
    </w:p>
    <w:p w14:paraId="12574E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数据同步更新：严格按照规定的标准和流程，将清查盘点后的资产信息同步更新至集团国有资产管理系统。确保各系统中资产数据的一致性，包括资产的基本信息、使用状态、存放位置等，同时同步相关资产关联数据，为资产的动态管理及决策分析提供准确的数据支持。</w:t>
      </w:r>
    </w:p>
    <w:p w14:paraId="68A26E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（3）标签打印与张贴：采购2000张 RFID 标签及树脂碳带（适配 RFID 标签材质，确保文字、条码等信息清晰打印且长期保存）。标签内容包含资产编号、名称、使用部门等关键信息。完成约2000件资产的标签张贴工作，张贴位置应显著、牢固，便于资产的识别和扫描。</w:t>
      </w:r>
    </w:p>
    <w:p w14:paraId="63301F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4）工作方案制定：项目正式实施前，供应商需派遣专业团队驻场进行全面调研，调研内容除建筑布局、资产分布、各部门需求及现有资产管理系统运行状况外，还需重点研读相关资料。结合调研结果，制定详细、全面的工作范围（明确基准日，确保2000件资产清查数据的时效性）、合理的分工安排、科学的工作进度计划、切实可行的实施方案、严密的数据保密与备份方案、完善的信息安全保障措施等，形成详尽、可行、高效的《资产清查盘点工作方案》。同时，提交资产清查盘点工作启动说明，明确项目启动的各项准备工作和时间节点，与我司充分沟通并达成一致。若方案不符合要求，供应商应及时、积极地进行整改修订，直至满足项目需求。</w:t>
      </w:r>
    </w:p>
    <w:p w14:paraId="4585FB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5）人员管理：在清查工作期间，派驻工作人员应保持相对稳定，避免频繁更换。若我司对派驻人员的工作表现不满意，有权要求供应商更换合适的人员。派驻人员必须是供应商按照劳动合同法及相关法律规定签订书面劳动合同的正式聘用人员，具备相关的专业知识和技能，且需提前接受我司资产管理要求。供应商应为派驻人员提供工作所需的工具和设备，确保其能够顺利开展资产清查、审计资料整理、标签张贴、专项核查等工作。</w:t>
      </w:r>
    </w:p>
    <w:p w14:paraId="5DC7C4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6）竣工交付：所有工作完成后，供应商应提交内容详实的竣工报告，报告除包含项目实施过程、工作成果（含资产清查结果、标签张贴完成情况）、遇到的问题及解决措施等方面。组织竣工报告会，向我司详细汇报工作情况，并将清查工作过程中产生的各类档案材料整理成册交付给资产管理部门，确保资料的完整性和可追溯性。</w:t>
      </w:r>
    </w:p>
    <w:p w14:paraId="615C73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7）项目验收：项目竣工后，我司在10日内组织项目验收。验收标准包括常规的资产清查盘点数据准确性、数据同步更新完整性、标签张贴规范性及档案材料完整性。验收通过后，我司签署验收单；若验收不通过，供应商应根据我司提出的问题及时进行整改，直至验收合格。</w:t>
      </w:r>
    </w:p>
    <w:p w14:paraId="7083AD2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3. 培训服务</w:t>
      </w:r>
    </w:p>
    <w:p w14:paraId="42A67F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供应商需提供贴合采购人业务实际的定制化资产与办公系统相关培训服务，具体培训内容及要求如下：</w:t>
      </w:r>
    </w:p>
    <w:p w14:paraId="59DF1B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培训由采购人统一组织并确定培训计划、场地与参训人员；供应商按采购人安排提供师资、教材、实操环境及现场指导，配合完成培训签到、效果评估及后续答疑的衔接。</w:t>
      </w:r>
    </w:p>
    <w:p w14:paraId="42B925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办公OA系统使用培训：需区分全体通用层与管理对接层设计分层培训内容：面向全体员工的基础操作培训，覆盖OA系统账号登录与个人主页基础设置、日常办公流程（请假、出差、报销、用章申请、出差申请等）发起与审批操作、在线文档协同编辑、公文查阅接收、消息提醒分类管理、常见基础问题自主排查等内容，保障普通员工能独立完成日常办公操作；面向行政OA管理员、部门对接人的进阶管理培训，覆盖组织架构更新维护、审批流程模板配置、人员权限分级调整、新员工账号批量开通与离职员工账号注销、业务数据导出汇总、系统问题统筹对接厂商等内容，确保管理岗能熟练完成OA系统的日常运维对接。</w:t>
      </w:r>
    </w:p>
    <w:p w14:paraId="6739D2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固定资产管理培训：面向行政资产管理员、部门资产对接人开展专项培训，覆盖固定资产全生命周期管理全流程：具体包含固定资产统一分类标准、行业通用资产编码规则讲解、新购资产入库信息录入规范、资产调拨或人员交接的信息变更操作要求、闲置资产台账登记管理要求、报废资产申报与核销流程规范、企业在用固定资产管理系统的全流程操作方法，帮助相关管理人员建立规范的资产管理意识，掌握标准化的台账管理操作，从源头避免账实不符、资产信息错位等常见问题。</w:t>
      </w:r>
    </w:p>
    <w:p w14:paraId="63B435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3）资产运营管理培训：面向资产运营岗、财务对接人员、企业中高层管理者开展培训，内容包含资产运营效能评估指标体系解读、不同类别闲置资产的盘活路径与落地方法、资产全生命周期成本核算方法、资产保值增值的分层管理策略、资产运营分析报表的解读与决策应用、合规性资产管理的政策与内部要求，帮助管理者掌握资产运营优化方法，有效提升资产使用效率，降低企业整体运营成本。</w:t>
      </w:r>
    </w:p>
    <w:p w14:paraId="69BA6D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4）资产盘点培训：面向所有参与资产盘点工作的人员开展培训，区分常规年度盘点与专项抽盘的不同要求设计内容：包含资产盘点的组织分工与标准流程节点、盘点前台账整理与分区分工安排、现代化盘点工具（PDA扫码设备、移动端盘点系统等）的操作方法、现场盘点账实核对的标准要求、盘点差异的排查与溯源方法、盘点结果汇总上报的格式规范、盘盈盘亏的后续处理流程，帮助盘点人员高效、准确完成盘点工作，精准梳理资产差异问题，保障盘点结果真实有效。</w:t>
      </w:r>
    </w:p>
    <w:p w14:paraId="56C7A7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5）培训服务通用要求：培训前需完成采购人参训人员基础能力调研，结合采购人实际内部管理流程调整培训内容深浅度与适配案例；培训形式可灵活选择线下集中授课、线上直播加实操带练、分批次小班教学等形式，满足不同场景的培训需求；培训后需配套提供电子版操作手册、实操演示视频、常见问题FAQ等学习资料，方便参训人员后续复习查阅；培训现场预留专属答疑环节，针对参训人员提出的实际工作问题提供针对性解答，培训结束后提供不少于1个月的后续线上答疑支持，保障培训内容能够落地应用。</w:t>
      </w:r>
    </w:p>
    <w:p w14:paraId="4628FEE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4. 接口与对接</w:t>
      </w:r>
    </w:p>
    <w:p w14:paraId="79D41E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对接集团资产管理系统，实现资产登记管理数据同步。</w:t>
      </w:r>
    </w:p>
    <w:tbl>
      <w:tblPr>
        <w:tblStyle w:val="48"/>
        <w:tblpPr w:leftFromText="180" w:rightFromText="180" w:vertAnchor="text" w:horzAnchor="page" w:tblpX="1799" w:tblpY="449"/>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3"/>
        <w:gridCol w:w="7294"/>
      </w:tblGrid>
      <w:tr w14:paraId="23606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18" w:type="pct"/>
            <w:vAlign w:val="center"/>
          </w:tcPr>
          <w:p w14:paraId="11AE2D2A">
            <w:pPr>
              <w:spacing w:line="240" w:lineRule="auto"/>
              <w:jc w:val="center"/>
              <w:rPr>
                <w:rFonts w:hint="eastAsia" w:ascii="方正楷体_GBK" w:hAnsi="方正楷体_GBK" w:eastAsia="方正楷体_GBK" w:cs="方正楷体_GBK"/>
                <w:color w:val="auto"/>
                <w:kern w:val="0"/>
                <w:sz w:val="21"/>
                <w:szCs w:val="21"/>
                <w:highlight w:val="none"/>
                <w:lang w:val="en-US" w:eastAsia="zh-CN"/>
              </w:rPr>
            </w:pPr>
            <w:r>
              <w:rPr>
                <w:rFonts w:hint="eastAsia" w:ascii="方正楷体_GBK" w:hAnsi="方正楷体_GBK" w:eastAsia="方正楷体_GBK" w:cs="方正楷体_GBK"/>
                <w:color w:val="auto"/>
                <w:kern w:val="0"/>
                <w:sz w:val="21"/>
                <w:szCs w:val="21"/>
                <w:highlight w:val="none"/>
                <w:lang w:val="en-US" w:eastAsia="zh-CN"/>
              </w:rPr>
              <w:t>功能模块</w:t>
            </w:r>
          </w:p>
        </w:tc>
        <w:tc>
          <w:tcPr>
            <w:tcW w:w="4281" w:type="pct"/>
            <w:vAlign w:val="center"/>
          </w:tcPr>
          <w:p w14:paraId="5C95A75D">
            <w:pPr>
              <w:spacing w:line="240" w:lineRule="auto"/>
              <w:jc w:val="center"/>
              <w:rPr>
                <w:rFonts w:hint="eastAsia" w:ascii="方正楷体_GBK" w:hAnsi="方正楷体_GBK" w:eastAsia="方正楷体_GBK" w:cs="方正楷体_GBK"/>
                <w:color w:val="auto"/>
                <w:kern w:val="0"/>
                <w:sz w:val="21"/>
                <w:szCs w:val="21"/>
                <w:highlight w:val="none"/>
                <w:lang w:val="en-US" w:eastAsia="zh-CN"/>
              </w:rPr>
            </w:pPr>
            <w:r>
              <w:rPr>
                <w:rFonts w:hint="eastAsia" w:ascii="方正楷体_GBK" w:hAnsi="方正楷体_GBK" w:eastAsia="方正楷体_GBK" w:cs="方正楷体_GBK"/>
                <w:color w:val="auto"/>
                <w:kern w:val="0"/>
                <w:sz w:val="21"/>
                <w:szCs w:val="21"/>
                <w:highlight w:val="none"/>
                <w:lang w:val="en-US" w:eastAsia="zh-CN"/>
              </w:rPr>
              <w:t>功能描述</w:t>
            </w:r>
          </w:p>
        </w:tc>
      </w:tr>
      <w:tr w14:paraId="5888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pct"/>
            <w:tcBorders>
              <w:top w:val="single" w:color="auto" w:sz="4" w:space="0"/>
              <w:left w:val="single" w:color="auto" w:sz="4" w:space="0"/>
              <w:bottom w:val="single" w:color="auto" w:sz="4" w:space="0"/>
              <w:right w:val="single" w:color="auto" w:sz="4" w:space="0"/>
            </w:tcBorders>
            <w:vAlign w:val="center"/>
          </w:tcPr>
          <w:p w14:paraId="03D9905C">
            <w:pPr>
              <w:spacing w:line="240" w:lineRule="auto"/>
              <w:jc w:val="left"/>
              <w:rPr>
                <w:rFonts w:hint="eastAsia" w:ascii="方正楷体_GBK" w:hAnsi="方正楷体_GBK" w:eastAsia="方正楷体_GBK" w:cs="方正楷体_GBK"/>
                <w:color w:val="auto"/>
                <w:kern w:val="0"/>
                <w:sz w:val="21"/>
                <w:szCs w:val="21"/>
                <w:highlight w:val="none"/>
                <w:lang w:val="en-US" w:eastAsia="zh-CN"/>
              </w:rPr>
            </w:pPr>
            <w:r>
              <w:rPr>
                <w:rFonts w:hint="eastAsia" w:ascii="方正楷体_GBK" w:hAnsi="方正楷体_GBK" w:eastAsia="方正楷体_GBK" w:cs="方正楷体_GBK"/>
                <w:color w:val="auto"/>
                <w:kern w:val="0"/>
                <w:sz w:val="21"/>
                <w:szCs w:val="21"/>
                <w:highlight w:val="none"/>
                <w:lang w:val="en-US" w:eastAsia="zh-CN"/>
              </w:rPr>
              <w:t>接口</w:t>
            </w:r>
          </w:p>
        </w:tc>
        <w:tc>
          <w:tcPr>
            <w:tcW w:w="4281" w:type="pct"/>
            <w:tcBorders>
              <w:top w:val="single" w:color="auto" w:sz="4" w:space="0"/>
              <w:left w:val="single" w:color="auto" w:sz="4" w:space="0"/>
              <w:bottom w:val="single" w:color="auto" w:sz="4" w:space="0"/>
              <w:right w:val="single" w:color="auto" w:sz="4" w:space="0"/>
            </w:tcBorders>
            <w:vAlign w:val="center"/>
          </w:tcPr>
          <w:p w14:paraId="28F34791">
            <w:pPr>
              <w:spacing w:line="240" w:lineRule="auto"/>
              <w:jc w:val="left"/>
              <w:rPr>
                <w:rFonts w:hint="eastAsia" w:ascii="方正楷体_GBK" w:hAnsi="方正楷体_GBK" w:eastAsia="方正楷体_GBK" w:cs="方正楷体_GBK"/>
                <w:color w:val="auto"/>
                <w:kern w:val="0"/>
                <w:sz w:val="21"/>
                <w:szCs w:val="21"/>
                <w:highlight w:val="none"/>
                <w:lang w:val="en-US" w:eastAsia="zh-CN"/>
              </w:rPr>
            </w:pPr>
            <w:r>
              <w:rPr>
                <w:rFonts w:hint="eastAsia" w:ascii="方正楷体_GBK" w:hAnsi="方正楷体_GBK" w:eastAsia="方正楷体_GBK" w:cs="方正楷体_GBK"/>
                <w:color w:val="auto"/>
                <w:kern w:val="0"/>
                <w:sz w:val="21"/>
                <w:szCs w:val="21"/>
                <w:highlight w:val="none"/>
                <w:lang w:val="en-US" w:eastAsia="zh-CN"/>
              </w:rPr>
              <w:t>系统提供数据交换引擎，支持配置运行状态下的第三方系统数据源；提供数据交换任务的可视化集成开发工具，封装丰富的底层集成功能，支持与主流异构系统集成；具有向导式任务流程配置（来源、转换、目标），以及多种交换方式。</w:t>
            </w:r>
          </w:p>
        </w:tc>
      </w:tr>
      <w:tr w14:paraId="539C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pct"/>
            <w:tcBorders>
              <w:top w:val="single" w:color="auto" w:sz="4" w:space="0"/>
              <w:left w:val="single" w:color="auto" w:sz="4" w:space="0"/>
              <w:bottom w:val="single" w:color="auto" w:sz="4" w:space="0"/>
              <w:right w:val="single" w:color="auto" w:sz="4" w:space="0"/>
            </w:tcBorders>
            <w:vAlign w:val="center"/>
          </w:tcPr>
          <w:p w14:paraId="2B807A68">
            <w:pPr>
              <w:spacing w:line="240" w:lineRule="auto"/>
              <w:jc w:val="left"/>
              <w:rPr>
                <w:rFonts w:hint="eastAsia" w:ascii="方正楷体_GBK" w:hAnsi="方正楷体_GBK" w:eastAsia="方正楷体_GBK" w:cs="方正楷体_GBK"/>
                <w:color w:val="auto"/>
                <w:kern w:val="0"/>
                <w:sz w:val="21"/>
                <w:szCs w:val="21"/>
                <w:highlight w:val="none"/>
                <w:lang w:val="en-US" w:eastAsia="zh-CN"/>
              </w:rPr>
            </w:pPr>
            <w:r>
              <w:rPr>
                <w:rFonts w:hint="eastAsia" w:ascii="方正楷体_GBK" w:hAnsi="方正楷体_GBK" w:eastAsia="方正楷体_GBK" w:cs="方正楷体_GBK"/>
                <w:color w:val="auto"/>
                <w:kern w:val="0"/>
                <w:sz w:val="21"/>
                <w:szCs w:val="21"/>
                <w:highlight w:val="none"/>
                <w:lang w:val="en-US" w:eastAsia="zh-CN"/>
              </w:rPr>
              <w:t>对接</w:t>
            </w:r>
          </w:p>
        </w:tc>
        <w:tc>
          <w:tcPr>
            <w:tcW w:w="4281" w:type="pct"/>
            <w:tcBorders>
              <w:top w:val="single" w:color="auto" w:sz="4" w:space="0"/>
              <w:left w:val="single" w:color="auto" w:sz="4" w:space="0"/>
              <w:bottom w:val="single" w:color="auto" w:sz="4" w:space="0"/>
              <w:right w:val="single" w:color="auto" w:sz="4" w:space="0"/>
            </w:tcBorders>
            <w:vAlign w:val="center"/>
          </w:tcPr>
          <w:p w14:paraId="0BAB99FE">
            <w:pPr>
              <w:spacing w:line="240" w:lineRule="auto"/>
              <w:jc w:val="left"/>
              <w:rPr>
                <w:rFonts w:hint="eastAsia" w:ascii="方正楷体_GBK" w:hAnsi="方正楷体_GBK" w:eastAsia="方正楷体_GBK" w:cs="方正楷体_GBK"/>
                <w:color w:val="auto"/>
                <w:kern w:val="0"/>
                <w:sz w:val="21"/>
                <w:szCs w:val="21"/>
                <w:highlight w:val="none"/>
                <w:lang w:val="en-US" w:eastAsia="zh-CN"/>
              </w:rPr>
            </w:pPr>
            <w:r>
              <w:rPr>
                <w:rFonts w:hint="eastAsia" w:ascii="方正楷体_GBK" w:hAnsi="方正楷体_GBK" w:eastAsia="方正楷体_GBK" w:cs="方正楷体_GBK"/>
                <w:color w:val="auto"/>
                <w:kern w:val="0"/>
                <w:sz w:val="21"/>
                <w:szCs w:val="21"/>
                <w:highlight w:val="none"/>
                <w:lang w:val="en-US" w:eastAsia="zh-CN"/>
              </w:rPr>
              <w:t>对接集团资产管理系统，实现资产登记管理数据同步；</w:t>
            </w:r>
          </w:p>
          <w:p w14:paraId="655CD044">
            <w:pPr>
              <w:spacing w:line="240" w:lineRule="auto"/>
              <w:jc w:val="left"/>
              <w:rPr>
                <w:rFonts w:hint="eastAsia" w:ascii="方正楷体_GBK" w:hAnsi="方正楷体_GBK" w:eastAsia="方正楷体_GBK" w:cs="方正楷体_GBK"/>
                <w:color w:val="auto"/>
                <w:kern w:val="0"/>
                <w:sz w:val="21"/>
                <w:szCs w:val="21"/>
                <w:highlight w:val="none"/>
                <w:lang w:val="en-US" w:eastAsia="zh-CN"/>
              </w:rPr>
            </w:pPr>
            <w:r>
              <w:rPr>
                <w:rFonts w:hint="eastAsia" w:ascii="方正楷体_GBK" w:hAnsi="方正楷体_GBK" w:eastAsia="方正楷体_GBK" w:cs="方正楷体_GBK"/>
                <w:color w:val="auto"/>
                <w:kern w:val="0"/>
                <w:sz w:val="21"/>
                <w:szCs w:val="21"/>
                <w:highlight w:val="none"/>
                <w:lang w:val="en-US" w:eastAsia="zh-CN"/>
              </w:rPr>
              <w:t>对接集团OA系统，实现集团发文，本系统阅办转发到子公司；</w:t>
            </w:r>
          </w:p>
          <w:p w14:paraId="5BE6FC31">
            <w:pPr>
              <w:spacing w:line="240" w:lineRule="auto"/>
              <w:jc w:val="left"/>
              <w:rPr>
                <w:rFonts w:hint="eastAsia" w:ascii="方正楷体_GBK" w:hAnsi="方正楷体_GBK" w:eastAsia="方正楷体_GBK" w:cs="方正楷体_GBK"/>
                <w:color w:val="auto"/>
                <w:kern w:val="0"/>
                <w:sz w:val="21"/>
                <w:szCs w:val="21"/>
                <w:highlight w:val="none"/>
                <w:lang w:val="en-US" w:eastAsia="zh-CN"/>
              </w:rPr>
            </w:pPr>
            <w:r>
              <w:rPr>
                <w:rFonts w:hint="eastAsia" w:ascii="方正楷体_GBK" w:hAnsi="方正楷体_GBK" w:eastAsia="方正楷体_GBK" w:cs="方正楷体_GBK"/>
                <w:color w:val="auto"/>
                <w:kern w:val="0"/>
                <w:sz w:val="21"/>
                <w:szCs w:val="21"/>
                <w:highlight w:val="none"/>
                <w:lang w:val="en-US" w:eastAsia="zh-CN"/>
              </w:rPr>
              <w:t>对接公司档案管理系统，实现单点登录和收发文归档；</w:t>
            </w:r>
          </w:p>
        </w:tc>
      </w:tr>
    </w:tbl>
    <w:p w14:paraId="4D8D60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对接集团OA系统，实现集团发文，本系统阅办转发到子公司。</w:t>
      </w:r>
    </w:p>
    <w:p w14:paraId="59E3D0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对接公司档案管理系统，实现单点登录和收发文归档。</w:t>
      </w:r>
    </w:p>
    <w:p w14:paraId="54DFD4F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方正仿宋_GBK" w:hAnsi="方正仿宋_GBK" w:eastAsia="方正仿宋_GBK" w:cs="方正仿宋_GBK"/>
          <w:b/>
          <w:bCs/>
          <w:i/>
          <w:iCs/>
          <w:color w:val="auto"/>
          <w:sz w:val="24"/>
          <w:szCs w:val="24"/>
          <w:highlight w:val="none"/>
          <w:u w:val="single"/>
          <w:lang w:val="en-US" w:eastAsia="zh-CN"/>
        </w:rPr>
      </w:pPr>
      <w:r>
        <w:rPr>
          <w:rFonts w:hint="eastAsia" w:ascii="方正仿宋_GBK" w:hAnsi="方正仿宋_GBK" w:eastAsia="方正仿宋_GBK" w:cs="方正仿宋_GBK"/>
          <w:b/>
          <w:bCs/>
          <w:i/>
          <w:iCs/>
          <w:color w:val="auto"/>
          <w:sz w:val="24"/>
          <w:szCs w:val="24"/>
          <w:highlight w:val="none"/>
          <w:u w:val="single"/>
          <w:lang w:val="en-US" w:eastAsia="zh-CN"/>
        </w:rPr>
        <w:t>▲承诺接口开发对接费用包含在总报价内，无新增费用。（供应商需提供承诺函，格式自拟）</w:t>
      </w:r>
    </w:p>
    <w:p w14:paraId="5BF889A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方正仿宋_GBK" w:hAnsi="方正仿宋_GBK" w:eastAsia="方正仿宋_GBK" w:cs="方正仿宋_GBK"/>
          <w:b/>
          <w:bCs/>
          <w:color w:val="auto"/>
          <w:sz w:val="24"/>
          <w:szCs w:val="24"/>
          <w:highlight w:val="none"/>
          <w:lang w:val="en-US" w:eastAsia="zh-CN"/>
        </w:rPr>
      </w:pPr>
      <w:r>
        <w:rPr>
          <w:rFonts w:hint="eastAsia" w:ascii="方正仿宋_GBK" w:hAnsi="方正仿宋_GBK" w:eastAsia="方正仿宋_GBK" w:cs="方正仿宋_GBK"/>
          <w:b/>
          <w:bCs/>
          <w:color w:val="auto"/>
          <w:sz w:val="24"/>
          <w:szCs w:val="24"/>
          <w:highlight w:val="none"/>
          <w:lang w:val="en-US" w:eastAsia="zh-CN"/>
        </w:rPr>
        <w:t>5. 项目管理与协同要求</w:t>
      </w:r>
    </w:p>
    <w:p w14:paraId="6B21AB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组织与人员。供应商应指定专职项目负责人及相对稳定的实施团队，纳入采购人项目经理的统一管理，参加采购人组织的项目例会并按要求提交周报；项目负责人及关键技术人员变更，应提前书面报采购人同意并完成交接。</w:t>
      </w:r>
    </w:p>
    <w:p w14:paraId="7C67A7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2、进度与质量。供应商应服从采购人编制的项目总体计划与阶段节点，接受采购人的质量检查、阶段评审及整改要求，整改结果纳入节点考核。</w:t>
      </w:r>
    </w:p>
    <w:p w14:paraId="7AF770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3、对外界面。未经采购人书面授权，供应商不得就本项目单独与业主单位洽谈商务条件、签署文件、收取款项或作出承诺；进入业主单位现场作业，应遵守业主单位及采购人的管理制度并服从统一调度。</w:t>
      </w:r>
    </w:p>
    <w:p w14:paraId="248303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4、数据与保密。供应商接触的业主单位数据、业务资料及系统账号，仅限本项目使用，不得复制、留存、外传或用于其他用途；作业完成后应按采购人要求清除本地数据并出具书面确认。供应商应配合采购人落实网络安全等级保护、数据安全及保密管理的相关要求。</w:t>
      </w:r>
    </w:p>
    <w:p w14:paraId="026189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5、知识产权。供应商为履行本合同形成的定制开发成果、配置成果、实施方案及文档，其知识产权归采购人所有，总包合同另有约定的从其约定；供应商对其原有软件产品保留权利，并授予采购人及业主单位在本项目范围内永久、免费使用的许可。</w:t>
      </w:r>
    </w:p>
    <w:p w14:paraId="03F1FF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6、验收与交付。需求范围内工作完成后，由采购人组织初步验收，合格后由采购人统一报业主单位整体验收；供应商应配合整改与复验，并向采购人移交全部配置文档、账号权限、部署说明及运维资料。</w:t>
      </w:r>
    </w:p>
    <w:p w14:paraId="6884F9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7、付款与结算。合同价款按项目对应节点的收款进度同比例支付，业主单位相应款项到账后支付；采购人按合同约定预留质量保证金，质保期内出现需求范围内的质量问题，供应商应在接到通知后按约定时限响应处理。</w:t>
      </w:r>
    </w:p>
    <w:p w14:paraId="1DA294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8、退出与交接。合同解除、终止或期满时，供应商应无条件完成资料、数据、账号及在途工作的移交，不得以任何理由扣押或设置障碍。</w:t>
      </w:r>
    </w:p>
    <w:p w14:paraId="77312A00">
      <w:pPr>
        <w:pStyle w:val="2"/>
        <w:spacing w:line="240" w:lineRule="auto"/>
        <w:rPr>
          <w:rFonts w:hint="eastAsia"/>
        </w:rPr>
      </w:pPr>
      <w:r>
        <w:rPr>
          <w:rFonts w:hint="eastAsia"/>
          <w:lang w:val="en-US" w:eastAsia="zh-CN"/>
        </w:rPr>
        <w:t>四</w:t>
      </w:r>
      <w:r>
        <w:rPr>
          <w:rFonts w:hint="eastAsia"/>
        </w:rPr>
        <w:t>、评审方法和评审标准</w:t>
      </w:r>
    </w:p>
    <w:p w14:paraId="7968723C">
      <w:pPr>
        <w:keepNext/>
        <w:keepLines/>
        <w:spacing w:before="100" w:beforeAutospacing="1" w:after="100" w:afterAutospacing="1" w:line="240" w:lineRule="auto"/>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一</w:t>
      </w:r>
      <w:r>
        <w:rPr>
          <w:rFonts w:hint="eastAsia" w:ascii="方正楷体_GBK" w:hAnsi="方正楷体_GBK" w:eastAsia="方正楷体_GBK" w:cs="方正楷体_GBK"/>
          <w:b/>
          <w:sz w:val="32"/>
          <w:lang w:eastAsia="zh-CN"/>
        </w:rPr>
        <w:t>、</w:t>
      </w:r>
      <w:r>
        <w:rPr>
          <w:rFonts w:hint="eastAsia" w:ascii="方正楷体_GBK" w:hAnsi="方正楷体_GBK" w:eastAsia="方正楷体_GBK" w:cs="方正楷体_GBK"/>
          <w:b/>
          <w:sz w:val="32"/>
        </w:rPr>
        <w:t>评审方法</w:t>
      </w:r>
    </w:p>
    <w:p w14:paraId="2BE2F8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本项目采用综合评分法，评审工作由采购人自行组织评审小组开展。评审小组将对确定为实质性响应采购文件要求的响应文件进行评价和比较。评审结果按评审后得分由高到低顺序排列。得分相同的，按响应报价由低到高顺序排列。得分且响应报价相同的并列，响应文件满足采购文件全部实质性要求，且按照服务方案评审得分由高到低顺序推荐。</w:t>
      </w:r>
    </w:p>
    <w:p w14:paraId="0F4C7011">
      <w:pPr>
        <w:keepNext/>
        <w:keepLines/>
        <w:spacing w:before="100" w:beforeAutospacing="1" w:after="100" w:afterAutospacing="1"/>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二</w:t>
      </w:r>
      <w:r>
        <w:rPr>
          <w:rFonts w:hint="eastAsia" w:ascii="方正楷体_GBK" w:hAnsi="方正楷体_GBK" w:eastAsia="方正楷体_GBK" w:cs="方正楷体_GBK"/>
          <w:b/>
          <w:sz w:val="32"/>
          <w:lang w:eastAsia="zh-CN"/>
        </w:rPr>
        <w:t>、</w:t>
      </w:r>
      <w:r>
        <w:rPr>
          <w:rFonts w:hint="eastAsia" w:ascii="方正楷体_GBK" w:hAnsi="方正楷体_GBK" w:eastAsia="方正楷体_GBK" w:cs="方正楷体_GBK"/>
          <w:b/>
          <w:sz w:val="32"/>
        </w:rPr>
        <w:t>评审标准（100分）</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7413"/>
      </w:tblGrid>
      <w:tr w14:paraId="1259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blHeader/>
          <w:jc w:val="center"/>
        </w:trPr>
        <w:tc>
          <w:tcPr>
            <w:tcW w:w="0" w:type="auto"/>
            <w:shd w:val="clear" w:color="auto" w:fill="F3F3F3"/>
            <w:noWrap w:val="0"/>
            <w:vAlign w:val="center"/>
          </w:tcPr>
          <w:p w14:paraId="6E2FFEDA">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评审因素</w:t>
            </w:r>
          </w:p>
        </w:tc>
        <w:tc>
          <w:tcPr>
            <w:tcW w:w="0" w:type="auto"/>
            <w:shd w:val="clear" w:color="auto" w:fill="F3F3F3"/>
            <w:noWrap w:val="0"/>
            <w:vAlign w:val="center"/>
          </w:tcPr>
          <w:p w14:paraId="66EB15E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评分标准</w:t>
            </w:r>
          </w:p>
        </w:tc>
      </w:tr>
      <w:tr w14:paraId="4004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noWrap w:val="0"/>
            <w:vAlign w:val="center"/>
          </w:tcPr>
          <w:p w14:paraId="10B0A5A3">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价格（25分）</w:t>
            </w:r>
          </w:p>
        </w:tc>
        <w:tc>
          <w:tcPr>
            <w:tcW w:w="0" w:type="auto"/>
            <w:noWrap w:val="0"/>
            <w:vAlign w:val="center"/>
          </w:tcPr>
          <w:p w14:paraId="4F482F3F">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满足采购文件要求且价格最低的响应报价为评审基准价，其价格分为满分25分。其他供应商的价格分统一按照下列公式计算：</w:t>
            </w:r>
          </w:p>
          <w:p w14:paraId="3BBF314D">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报价得分=（评审基准价／响应报价）×25，小数保留2位。</w:t>
            </w:r>
          </w:p>
        </w:tc>
      </w:tr>
      <w:tr w14:paraId="4DD5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noWrap w:val="0"/>
            <w:vAlign w:val="center"/>
          </w:tcPr>
          <w:p w14:paraId="3B83B02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需求响应程度（10分）</w:t>
            </w:r>
          </w:p>
        </w:tc>
        <w:tc>
          <w:tcPr>
            <w:tcW w:w="0" w:type="auto"/>
            <w:noWrap w:val="0"/>
            <w:vAlign w:val="center"/>
          </w:tcPr>
          <w:p w14:paraId="52493ED7">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基本需求（5分）：供应商所投产品或服务技术要求全满足采购文件的相关要求的得5分；</w:t>
            </w:r>
            <w:r>
              <w:rPr>
                <w:rFonts w:hint="eastAsia" w:ascii="方正仿宋_GBK" w:hAnsi="方正仿宋_GBK" w:eastAsia="方正仿宋_GBK" w:cs="方正仿宋_GBK"/>
                <w:color w:val="auto"/>
                <w:kern w:val="0"/>
                <w:sz w:val="21"/>
                <w:szCs w:val="21"/>
                <w:highlight w:val="none"/>
                <w:lang w:val="en-US" w:eastAsia="zh-CN"/>
              </w:rPr>
              <w:br w:type="textWrapping"/>
            </w:r>
            <w:r>
              <w:rPr>
                <w:rFonts w:hint="eastAsia" w:ascii="方正仿宋_GBK" w:hAnsi="方正仿宋_GBK" w:eastAsia="方正仿宋_GBK" w:cs="方正仿宋_GBK"/>
                <w:color w:val="auto"/>
                <w:kern w:val="0"/>
                <w:sz w:val="21"/>
                <w:szCs w:val="21"/>
                <w:highlight w:val="none"/>
                <w:lang w:val="en-US" w:eastAsia="zh-CN"/>
              </w:rPr>
              <w:t>增强需求（5分）：供应商提供的系统具备以下能力的可获得加分，每满足一项并提供证明材料(加盖供应商公章)的加0.5分，最多5分</w:t>
            </w:r>
          </w:p>
          <w:p w14:paraId="6073B83C">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1）内部即时通讯：支持私有化部署，提供多端入口，PC端、移动端及网页端，消息及数据完全互通。</w:t>
            </w:r>
          </w:p>
          <w:p w14:paraId="2344CD2B">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2）移动端app支持ios、安卓系统环境安装，且必须支持鸿蒙系统、纯血鸿蒙系统安装使用。</w:t>
            </w:r>
            <w:r>
              <w:rPr>
                <w:rFonts w:hint="eastAsia" w:ascii="方正仿宋_GBK" w:hAnsi="方正仿宋_GBK" w:eastAsia="方正仿宋_GBK" w:cs="方正仿宋_GBK"/>
                <w:color w:val="auto"/>
                <w:kern w:val="0"/>
                <w:sz w:val="21"/>
                <w:szCs w:val="21"/>
                <w:highlight w:val="none"/>
                <w:lang w:val="en-US" w:eastAsia="zh-CN"/>
              </w:rPr>
              <w:br w:type="textWrapping"/>
            </w:r>
            <w:r>
              <w:rPr>
                <w:rFonts w:hint="eastAsia" w:ascii="方正仿宋_GBK" w:hAnsi="方正仿宋_GBK" w:eastAsia="方正仿宋_GBK" w:cs="方正仿宋_GBK"/>
                <w:color w:val="auto"/>
                <w:kern w:val="0"/>
                <w:sz w:val="21"/>
                <w:szCs w:val="21"/>
                <w:highlight w:val="none"/>
                <w:lang w:val="en-US" w:eastAsia="zh-CN"/>
              </w:rPr>
              <w:t>3）支持与集团收发文对接，实现集团发文推送到公司，并转收文。</w:t>
            </w:r>
            <w:r>
              <w:rPr>
                <w:rFonts w:hint="eastAsia" w:ascii="方正仿宋_GBK" w:hAnsi="方正仿宋_GBK" w:eastAsia="方正仿宋_GBK" w:cs="方正仿宋_GBK"/>
                <w:color w:val="auto"/>
                <w:kern w:val="0"/>
                <w:sz w:val="21"/>
                <w:szCs w:val="21"/>
                <w:highlight w:val="none"/>
                <w:lang w:val="en-US" w:eastAsia="zh-CN"/>
              </w:rPr>
              <w:br w:type="textWrapping"/>
            </w:r>
            <w:r>
              <w:rPr>
                <w:rFonts w:hint="eastAsia" w:ascii="方正仿宋_GBK" w:hAnsi="方正仿宋_GBK" w:eastAsia="方正仿宋_GBK" w:cs="方正仿宋_GBK"/>
                <w:color w:val="auto"/>
                <w:kern w:val="0"/>
                <w:sz w:val="21"/>
                <w:szCs w:val="21"/>
                <w:highlight w:val="none"/>
                <w:lang w:val="en-US" w:eastAsia="zh-CN"/>
              </w:rPr>
              <w:t>4）支持可视化界面进行流程维护和调整。</w:t>
            </w:r>
            <w:r>
              <w:rPr>
                <w:rFonts w:hint="eastAsia" w:ascii="方正仿宋_GBK" w:hAnsi="方正仿宋_GBK" w:eastAsia="方正仿宋_GBK" w:cs="方正仿宋_GBK"/>
                <w:color w:val="auto"/>
                <w:kern w:val="0"/>
                <w:sz w:val="21"/>
                <w:szCs w:val="21"/>
                <w:highlight w:val="none"/>
                <w:lang w:val="en-US" w:eastAsia="zh-CN"/>
              </w:rPr>
              <w:br w:type="textWrapping"/>
            </w:r>
            <w:r>
              <w:rPr>
                <w:rFonts w:hint="eastAsia" w:ascii="方正仿宋_GBK" w:hAnsi="方正仿宋_GBK" w:eastAsia="方正仿宋_GBK" w:cs="方正仿宋_GBK"/>
                <w:color w:val="auto"/>
                <w:kern w:val="0"/>
                <w:sz w:val="21"/>
                <w:szCs w:val="21"/>
                <w:highlight w:val="none"/>
                <w:lang w:val="en-US" w:eastAsia="zh-CN"/>
              </w:rPr>
              <w:t>5）</w:t>
            </w:r>
            <w:r>
              <w:rPr>
                <w:rFonts w:hint="eastAsia" w:ascii="方正仿宋_GBK" w:hAnsi="方正仿宋_GBK" w:eastAsia="方正仿宋_GBK" w:cs="方正仿宋_GBK"/>
                <w:color w:val="auto"/>
                <w:kern w:val="0"/>
                <w:sz w:val="21"/>
                <w:szCs w:val="21"/>
                <w:highlight w:val="none"/>
                <w:lang w:val="en-US" w:eastAsia="zh-Hans"/>
              </w:rPr>
              <w:t>满足</w:t>
            </w:r>
            <w:r>
              <w:rPr>
                <w:rFonts w:hint="eastAsia" w:ascii="方正仿宋_GBK" w:hAnsi="方正仿宋_GBK" w:eastAsia="方正仿宋_GBK" w:cs="方正仿宋_GBK"/>
                <w:color w:val="auto"/>
                <w:kern w:val="0"/>
                <w:sz w:val="21"/>
                <w:szCs w:val="21"/>
                <w:highlight w:val="none"/>
                <w:lang w:val="en-US" w:eastAsia="zh-CN"/>
              </w:rPr>
              <w:t>前后端分离、松耦合</w:t>
            </w:r>
            <w:r>
              <w:rPr>
                <w:rFonts w:hint="eastAsia" w:ascii="方正仿宋_GBK" w:hAnsi="方正仿宋_GBK" w:eastAsia="方正仿宋_GBK" w:cs="方正仿宋_GBK"/>
                <w:color w:val="auto"/>
                <w:kern w:val="0"/>
                <w:sz w:val="21"/>
                <w:szCs w:val="21"/>
                <w:highlight w:val="none"/>
                <w:lang w:val="en-US" w:eastAsia="zh-Hans"/>
              </w:rPr>
              <w:t>的技术架构</w:t>
            </w:r>
            <w:r>
              <w:rPr>
                <w:rFonts w:hint="eastAsia" w:ascii="方正仿宋_GBK" w:hAnsi="方正仿宋_GBK" w:eastAsia="方正仿宋_GBK" w:cs="方正仿宋_GBK"/>
                <w:color w:val="auto"/>
                <w:kern w:val="0"/>
                <w:sz w:val="21"/>
                <w:szCs w:val="21"/>
                <w:highlight w:val="none"/>
                <w:lang w:val="en-US" w:eastAsia="zh-CN"/>
              </w:rPr>
              <w:t>；</w:t>
            </w:r>
          </w:p>
          <w:p w14:paraId="0E6B6298">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6）平台需要有无侵入式开发能力，二次开发不影响升级，同时具备</w:t>
            </w:r>
            <w:r>
              <w:rPr>
                <w:rFonts w:hint="eastAsia" w:ascii="方正仿宋_GBK" w:hAnsi="方正仿宋_GBK" w:eastAsia="方正仿宋_GBK" w:cs="方正仿宋_GBK"/>
                <w:color w:val="auto"/>
                <w:kern w:val="0"/>
                <w:sz w:val="21"/>
                <w:szCs w:val="21"/>
                <w:highlight w:val="none"/>
                <w:lang w:val="en-US" w:eastAsia="zh-Hans"/>
              </w:rPr>
              <w:t>网页端的前端</w:t>
            </w:r>
            <w:r>
              <w:rPr>
                <w:rFonts w:hint="eastAsia" w:ascii="方正仿宋_GBK" w:hAnsi="方正仿宋_GBK" w:eastAsia="方正仿宋_GBK" w:cs="方正仿宋_GBK"/>
                <w:color w:val="auto"/>
                <w:kern w:val="0"/>
                <w:sz w:val="21"/>
                <w:szCs w:val="21"/>
                <w:highlight w:val="none"/>
                <w:lang w:val="en-US" w:eastAsia="zh-CN"/>
              </w:rPr>
              <w:t>开发平台；</w:t>
            </w:r>
          </w:p>
          <w:p w14:paraId="520EE126">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7）系统安全上，具备完善的安全管理方案，包括容灾备份、权限级别控制等；</w:t>
            </w:r>
          </w:p>
          <w:p w14:paraId="28B189EC">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8）支持即时通讯中聊天数据加密管理，可以对重要敏感的数据或文档进行加密访问或身份认证；</w:t>
            </w:r>
          </w:p>
          <w:p w14:paraId="5664779B">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9）平台自身具有运维管理中心，系统日志中心，安全监控中心、升级管理中心；</w:t>
            </w:r>
          </w:p>
          <w:p w14:paraId="2D03C065">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10）</w:t>
            </w:r>
            <w:r>
              <w:rPr>
                <w:rFonts w:hint="eastAsia" w:ascii="方正仿宋_GBK" w:hAnsi="方正仿宋_GBK" w:eastAsia="方正仿宋_GBK" w:cs="方正仿宋_GBK"/>
                <w:color w:val="auto"/>
                <w:kern w:val="0"/>
                <w:sz w:val="21"/>
                <w:szCs w:val="21"/>
                <w:highlight w:val="none"/>
                <w:lang w:val="en-US" w:eastAsia="zh-Hans"/>
              </w:rPr>
              <w:t>具备</w:t>
            </w:r>
            <w:r>
              <w:rPr>
                <w:rFonts w:hint="eastAsia" w:ascii="方正仿宋_GBK" w:hAnsi="方正仿宋_GBK" w:eastAsia="方正仿宋_GBK" w:cs="方正仿宋_GBK"/>
                <w:color w:val="auto"/>
                <w:kern w:val="0"/>
                <w:sz w:val="21"/>
                <w:szCs w:val="21"/>
                <w:highlight w:val="none"/>
                <w:lang w:val="en-US" w:eastAsia="zh-CN"/>
              </w:rPr>
              <w:t>低代码</w:t>
            </w:r>
            <w:r>
              <w:rPr>
                <w:rFonts w:hint="eastAsia" w:ascii="方正仿宋_GBK" w:hAnsi="方正仿宋_GBK" w:eastAsia="方正仿宋_GBK" w:cs="方正仿宋_GBK"/>
                <w:color w:val="auto"/>
                <w:kern w:val="0"/>
                <w:sz w:val="21"/>
                <w:szCs w:val="21"/>
                <w:highlight w:val="none"/>
                <w:lang w:val="en-US" w:eastAsia="zh-Hans"/>
              </w:rPr>
              <w:t>能力，有完善的低代码</w:t>
            </w:r>
            <w:r>
              <w:rPr>
                <w:rFonts w:hint="eastAsia" w:ascii="方正仿宋_GBK" w:hAnsi="方正仿宋_GBK" w:eastAsia="方正仿宋_GBK" w:cs="方正仿宋_GBK"/>
                <w:color w:val="auto"/>
                <w:kern w:val="0"/>
                <w:sz w:val="21"/>
                <w:szCs w:val="21"/>
                <w:highlight w:val="none"/>
                <w:lang w:val="en-US" w:eastAsia="zh-CN"/>
              </w:rPr>
              <w:t>开发方案。</w:t>
            </w:r>
          </w:p>
        </w:tc>
      </w:tr>
      <w:tr w14:paraId="476D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restart"/>
            <w:noWrap w:val="0"/>
            <w:vAlign w:val="center"/>
          </w:tcPr>
          <w:p w14:paraId="70859F81">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服务方案（25分）</w:t>
            </w:r>
          </w:p>
        </w:tc>
        <w:tc>
          <w:tcPr>
            <w:tcW w:w="0" w:type="auto"/>
            <w:noWrap w:val="0"/>
            <w:vAlign w:val="center"/>
          </w:tcPr>
          <w:p w14:paraId="4C509B44">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解决方案（10分）</w:t>
            </w:r>
          </w:p>
          <w:p w14:paraId="1EDEFEBB">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根据供应商解决方案的针对性、完善性、可行性、合理性，以及对于本次系统建设的主要内容是否有详细、合理的方案，服务单位范围及服务内容是否满足实际需求进行评价：</w:t>
            </w:r>
          </w:p>
          <w:p w14:paraId="6B76511F">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方案细致全面、响应需求，技术可行性强，得10分；</w:t>
            </w:r>
          </w:p>
          <w:p w14:paraId="45AAA1D9">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方案较为完整，基本响应需求，技术可行性较强，得6分；</w:t>
            </w:r>
          </w:p>
          <w:p w14:paraId="0EEF2FB8">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方案不完整、响应度低、技术可行性低,得2分；</w:t>
            </w:r>
          </w:p>
          <w:p w14:paraId="761FC229">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不提供方案，不得分。</w:t>
            </w:r>
          </w:p>
        </w:tc>
      </w:tr>
      <w:tr w14:paraId="649F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noWrap w:val="0"/>
            <w:vAlign w:val="center"/>
          </w:tcPr>
          <w:p w14:paraId="24426D3D">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0" w:type="auto"/>
            <w:noWrap w:val="0"/>
            <w:vAlign w:val="center"/>
          </w:tcPr>
          <w:p w14:paraId="365A536A">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资产盘点服务方案（10分）</w:t>
            </w:r>
          </w:p>
          <w:p w14:paraId="55640CD2">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提供切实可行的资产盘点全流程服务方案，覆盖从盘前筹备到盘后结果落地全环节，包括但不限于适配不同业态资产特性的资产盘点流程设计、分层分区域推进执行的资产盘点专项工作方案、账实核对与盘盈盘亏核查确认的盘点质量检验流程设计、盘点结果梳理建档的档案资料规范管理以及全流程资产信息保密性与存储安全性保障等方面内容。</w:t>
            </w:r>
          </w:p>
          <w:p w14:paraId="2F1ED31B">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方案细致全面、响应需求，技术可行性强，得10分；</w:t>
            </w:r>
          </w:p>
          <w:p w14:paraId="5D09C0E5">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方案较为完整，基本响应需求，技术可行性较强，得6分；</w:t>
            </w:r>
          </w:p>
          <w:p w14:paraId="4997E432">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方案不完整、响应度低、技术可行性低,得2分；</w:t>
            </w:r>
          </w:p>
          <w:p w14:paraId="63AEBC2B">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不提供方案，不得分。</w:t>
            </w:r>
          </w:p>
        </w:tc>
      </w:tr>
      <w:tr w14:paraId="338C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0" w:type="auto"/>
            <w:vMerge w:val="continue"/>
            <w:noWrap w:val="0"/>
            <w:vAlign w:val="center"/>
          </w:tcPr>
          <w:p w14:paraId="2C737032">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p>
        </w:tc>
        <w:tc>
          <w:tcPr>
            <w:tcW w:w="0" w:type="auto"/>
            <w:noWrap w:val="0"/>
            <w:vAlign w:val="center"/>
          </w:tcPr>
          <w:p w14:paraId="07960F82">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售后服务方案（5分）</w:t>
            </w:r>
          </w:p>
          <w:p w14:paraId="0E0ECD11">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提供售后服务方案（包括详细的培训方案、切实可行的系统售后技术支持、维护及故障响应解决方案）</w:t>
            </w:r>
          </w:p>
          <w:p w14:paraId="2D0B13A3">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培训体系完善分层落地，响应文件中承诺的故障响应服务技术支撑到位，故障分级响应时效清晰、运维及应急预案完整可行，得5分；</w:t>
            </w:r>
          </w:p>
          <w:p w14:paraId="73F5FDCC">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具备基础培训与常规售后支持，故障处置有大致方案，但细节不完善、量化指标不足，得3分；</w:t>
            </w:r>
          </w:p>
          <w:p w14:paraId="08C45587">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培训内容简略，售后技术支持机制缺失，无规范故障响应与系统维护方案，可执行性，得1分；</w:t>
            </w:r>
          </w:p>
          <w:p w14:paraId="7CB12A6D">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不提供方案，不得分。</w:t>
            </w:r>
          </w:p>
        </w:tc>
      </w:tr>
      <w:tr w14:paraId="0A32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0" w:type="auto"/>
            <w:noWrap w:val="0"/>
            <w:vAlign w:val="center"/>
          </w:tcPr>
          <w:p w14:paraId="6FD8D0A0">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系统演示</w:t>
            </w:r>
          </w:p>
          <w:p w14:paraId="4DAF9B8D">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（20分）</w:t>
            </w:r>
          </w:p>
        </w:tc>
        <w:tc>
          <w:tcPr>
            <w:tcW w:w="0" w:type="auto"/>
            <w:noWrap w:val="0"/>
            <w:vAlign w:val="center"/>
          </w:tcPr>
          <w:p w14:paraId="2E84C82B">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按照采购文件相关要求，根据现场演示内容及效果进行综合评分，要求按所列内容顺序进行逐项演示，具体演示内容为项目需求技术要求的说明。评委根据讲解内容与采购需求的匹配程度和业务逻辑完整性等评分。</w:t>
            </w:r>
          </w:p>
          <w:p w14:paraId="2F8A1299">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供应商自行准备相关演示设备、转换器接头等，演示时间不超过15分钟。供应商对十项功能使用真实系统进行演示的，每个演示点得2分；使用视频、PPT进行演示的，每个演示点得1分。</w:t>
            </w:r>
          </w:p>
          <w:p w14:paraId="115F3200">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1、门户管理功能（4分）</w:t>
            </w:r>
          </w:p>
          <w:p w14:paraId="06016C65">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演示点1：新闻的定时发布、定时撤回功能，同时展示稿件点击量、热度数据；</w:t>
            </w:r>
          </w:p>
          <w:p w14:paraId="53B02591">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演示点2：用户登录门户加载完主页后进行精准弹窗提醒推送，可针对员工生日、党员生日、重要节日、重大纪念日等场景定制化推送弹窗内容；</w:t>
            </w:r>
          </w:p>
          <w:p w14:paraId="40A45710">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2、流程管理功能（4分）</w:t>
            </w:r>
          </w:p>
          <w:p w14:paraId="426D91EB">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演示点3：共性流程节点、流转规则、操作者配置等保存为公共流程片段（如“部门负责人审批+财务审核”片段），多流程可直接引用该片段，无需重复配置；</w:t>
            </w:r>
          </w:p>
          <w:p w14:paraId="4B9D9D26">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 xml:space="preserve">演示点4：自动分析流程各审批环节的实际运行情况与预设管理标准的一致性，识别偏差点（如审批时长超出标准、流转路径偏离预设），生成偏差分析报表并标注偏差原因；  </w:t>
            </w:r>
          </w:p>
          <w:p w14:paraId="0FB88824">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3、接口管理功能（6分）</w:t>
            </w:r>
          </w:p>
          <w:p w14:paraId="02C37DAA">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演示点5：API全链路安全防护需求，支持身份认证、精细化访问控制、接口调用速率限制、数据加密传输与存储等多重安全机制，可配置对称、非对称、摘要等多种加密算法；</w:t>
            </w:r>
          </w:p>
          <w:p w14:paraId="2DCDA311">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演示点6：实时监控 API 调用过程中的错误码、响应超时、连接失败等异常情况；</w:t>
            </w:r>
          </w:p>
          <w:p w14:paraId="4A158016">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演示点7：可自定义异常监控指标与告警阈值，通过多渠道及时通知运维人员，同时提供错误场景说明与处理方案建议；</w:t>
            </w:r>
          </w:p>
          <w:p w14:paraId="7891DD7B">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4、低代码功能（6分）</w:t>
            </w:r>
          </w:p>
          <w:p w14:paraId="700DE3B1">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演示点8：应用的表单、流程、业务逻辑、数据资源整体一键迁移，可在测试、生产等不同环境间快速部署；</w:t>
            </w:r>
          </w:p>
          <w:p w14:paraId="4A19E0AE">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演示点9：应用从共享运行环境中分离，单独部署至专属服务器与数据库；</w:t>
            </w:r>
          </w:p>
          <w:p w14:paraId="09963A98">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演示点10：通过可视化拖拽界面配置业务逻辑规则，无需大量代码开发，可直观设置条件分支、循环、并行等逻辑关系，结合 ESB 动作流能力，快速完成跨模块、跨系统的业务逻辑编排；</w:t>
            </w:r>
          </w:p>
        </w:tc>
      </w:tr>
      <w:tr w14:paraId="19B7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noWrap w:val="0"/>
            <w:vAlign w:val="center"/>
          </w:tcPr>
          <w:p w14:paraId="1E1140CC">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综合实力（12分）</w:t>
            </w:r>
          </w:p>
        </w:tc>
        <w:tc>
          <w:tcPr>
            <w:tcW w:w="0" w:type="auto"/>
            <w:noWrap w:val="0"/>
            <w:vAlign w:val="center"/>
          </w:tcPr>
          <w:p w14:paraId="2EF258AF">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（1）供应商需提供2021年1月1日以来的同类项目业绩，每提交1份有效业绩证明材料得1分，本项最高得2分。业绩有效性以合同签订日期为判定依据，相关证明材料须为合同复印件并加盖供应商公章。</w:t>
            </w:r>
          </w:p>
          <w:p w14:paraId="747A9524">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（2）供应商持有国家级信息技术服务标准（ITSS）资质认证或高新技术企业认证证书的，本项得2分，未持有相关有效证书的不得分。证明材料须为资质证书复印件并加盖供应商公章。</w:t>
            </w:r>
          </w:p>
          <w:p w14:paraId="51270FAE">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（3）供应商持有与本项目相关的软件著作权登记证书的，每提供1份有效证书得1分，本项最高得5分。证明材料须为在有效期内的软件著作权证书扫描件并加盖供应商公章，未按要求提供有效材料的不得分。</w:t>
            </w:r>
          </w:p>
          <w:p w14:paraId="5FD29E22">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（4）供应商持有有效双软认证资质的，本项得3分，未持有相关有效资质的不得分。证明材料须为资质证书复印件并加盖供应商公章。</w:t>
            </w:r>
          </w:p>
        </w:tc>
      </w:tr>
      <w:tr w14:paraId="46C5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noWrap w:val="0"/>
            <w:vAlign w:val="center"/>
          </w:tcPr>
          <w:p w14:paraId="4125717D">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技术服务及保障能力（3分）</w:t>
            </w:r>
          </w:p>
        </w:tc>
        <w:tc>
          <w:tcPr>
            <w:tcW w:w="0" w:type="auto"/>
            <w:noWrap w:val="0"/>
            <w:vAlign w:val="center"/>
          </w:tcPr>
          <w:p w14:paraId="59F9640D">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（1）在采购需求规定的1年免费平台技术运维外，每增加1年免费维护期加1分，满分2分。（提供服务承诺书，并加盖供应商公章）</w:t>
            </w:r>
          </w:p>
          <w:p w14:paraId="3B89CDB8">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（2）提供7×24小时故障响应服务，得1分；提供5×8小时故障响应服务，得0.5分满分1分。（提供服务承诺书，并加盖供应商公章）</w:t>
            </w:r>
          </w:p>
        </w:tc>
      </w:tr>
      <w:tr w14:paraId="2D86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noWrap w:val="0"/>
            <w:vAlign w:val="center"/>
          </w:tcPr>
          <w:p w14:paraId="4749ECB8">
            <w:pPr>
              <w:spacing w:line="240" w:lineRule="auto"/>
              <w:jc w:val="left"/>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项目组成员（5分）</w:t>
            </w:r>
          </w:p>
        </w:tc>
        <w:tc>
          <w:tcPr>
            <w:tcW w:w="0" w:type="auto"/>
            <w:noWrap w:val="0"/>
            <w:vAlign w:val="center"/>
          </w:tcPr>
          <w:p w14:paraId="69833755">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（1）供应商项目负责人需具备信息系统项目管理师、软件设计师证书，提供1个得1分，最高得2分。（需提供证书复印件、响应文件截止时间前一年内任意一个月社保证明）</w:t>
            </w:r>
          </w:p>
          <w:p w14:paraId="173F0139">
            <w:pPr>
              <w:spacing w:line="240" w:lineRule="auto"/>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2）服务团队成员（除项目负责人以外）具备中级及以上职称、注册信息安全专业人员（CISP）证书、系统分析师，每有一人具有以上任一种证书得1分，最高得3分。（需提供证书复印件、响应文件截止时间前一年内任意一个月社保证明）</w:t>
            </w:r>
          </w:p>
        </w:tc>
      </w:tr>
      <w:tr w14:paraId="68D9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noWrap w:val="0"/>
            <w:vAlign w:val="center"/>
          </w:tcPr>
          <w:p w14:paraId="51645A95">
            <w:pPr>
              <w:spacing w:line="240" w:lineRule="auto"/>
              <w:jc w:val="center"/>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合计</w:t>
            </w:r>
          </w:p>
        </w:tc>
        <w:tc>
          <w:tcPr>
            <w:tcW w:w="0" w:type="auto"/>
            <w:noWrap w:val="0"/>
            <w:vAlign w:val="center"/>
          </w:tcPr>
          <w:p w14:paraId="4611ABDD">
            <w:pPr>
              <w:spacing w:line="240" w:lineRule="auto"/>
              <w:jc w:val="center"/>
              <w:rPr>
                <w:rFonts w:hint="eastAsia" w:ascii="方正仿宋_GBK" w:hAnsi="方正仿宋_GBK" w:eastAsia="方正仿宋_GBK" w:cs="方正仿宋_GBK"/>
                <w:color w:val="auto"/>
                <w:kern w:val="0"/>
                <w:sz w:val="21"/>
                <w:szCs w:val="21"/>
                <w:highlight w:val="none"/>
                <w:lang w:val="en-US" w:eastAsia="zh-CN"/>
              </w:rPr>
            </w:pPr>
            <w:r>
              <w:rPr>
                <w:rFonts w:hint="eastAsia" w:ascii="方正仿宋_GBK" w:hAnsi="方正仿宋_GBK" w:eastAsia="方正仿宋_GBK" w:cs="方正仿宋_GBK"/>
                <w:color w:val="auto"/>
                <w:kern w:val="0"/>
                <w:sz w:val="21"/>
                <w:szCs w:val="21"/>
                <w:highlight w:val="none"/>
                <w:lang w:val="en-US" w:eastAsia="zh-CN"/>
              </w:rPr>
              <w:t>100分</w:t>
            </w:r>
          </w:p>
        </w:tc>
      </w:tr>
    </w:tbl>
    <w:p w14:paraId="111C19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注：</w:t>
      </w:r>
    </w:p>
    <w:p w14:paraId="0A9741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1、评标过程中出现下列情形之一的，磋商小组应当启动异常低价投标（响应）审查程序:</w:t>
      </w:r>
    </w:p>
    <w:p w14:paraId="7EF2FC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（1）投标（响应）报价低于全部通过符合性审查供应商投标（响应）报价平均值65%的，即投标（响应）报价&lt;全部通过符合性审查供应商投标（响应）报价平均值×65%；</w:t>
      </w:r>
    </w:p>
    <w:p w14:paraId="4B930B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（2）投标（响应）报价低于通过符合性审查的次低报价供应商投标（响应）报价65%的，即投标（响应）报价&lt;通过符合性审查的次低报价供应商投标（响应）报价×65%；</w:t>
      </w:r>
    </w:p>
    <w:p w14:paraId="056814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（3）投标（响应）报价低于采购项目最高限价65%的，即投标（响应）报价&lt;采购项目最高限价×65%；</w:t>
      </w:r>
    </w:p>
    <w:p w14:paraId="02ECF0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（4）评审委员会基于专业判断，认为供应商报价过低，有可能影响产品质量或者不能诚信履约的其他情形。</w:t>
      </w:r>
    </w:p>
    <w:p w14:paraId="16BC48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不少于30分钟。其中，属于第3项情形，供应商已随投标(响应)文件一并提交相关书面说明及必要的证明材料的，在评审现场可不再重复提交。</w:t>
      </w:r>
    </w:p>
    <w:p w14:paraId="67F768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3、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00B3523E">
      <w:pPr>
        <w:pStyle w:val="2"/>
        <w:rPr>
          <w:rFonts w:hint="eastAsia"/>
        </w:rPr>
      </w:pPr>
      <w:r>
        <w:rPr>
          <w:rFonts w:hint="eastAsia"/>
          <w:lang w:val="en-US" w:eastAsia="zh-CN"/>
        </w:rPr>
        <w:t>五</w:t>
      </w:r>
      <w:r>
        <w:rPr>
          <w:rFonts w:hint="eastAsia"/>
        </w:rPr>
        <w:t>、廉政与廉洁要求</w:t>
      </w:r>
    </w:p>
    <w:p w14:paraId="1AE4F348">
      <w:pPr>
        <w:keepNext/>
        <w:keepLines/>
        <w:spacing w:before="100" w:beforeAutospacing="1" w:after="100" w:afterAutospacing="1"/>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（一）保密与廉洁纪律</w:t>
      </w:r>
    </w:p>
    <w:p w14:paraId="7C9C25E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1、供应商及采购相关人员不得泄露底价（标底）或其他涉及采购工作的保密资料；自采购项目立项（或开启响应文件）至合同签订期间，商务文件、响应文件、谈判内容应予保密，严禁泄露。</w:t>
      </w:r>
    </w:p>
    <w:p w14:paraId="07878B6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2、采购人员不得私自收受供应商回扣、佣金、礼品，或接受可能影响公正交易的宴请；违者依公司制度处理，涉嫌犯罪的移送司法机关。</w:t>
      </w:r>
    </w:p>
    <w:p w14:paraId="5EB2621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3、与供应商或受邀人有潜在经济利益关系、可能影响评审公正的，应当主动回避。不得将一项采购拆分为多个小额合同以规避比价或审批。</w:t>
      </w:r>
    </w:p>
    <w:p w14:paraId="2B204378">
      <w:pPr>
        <w:keepNext/>
        <w:keepLines/>
        <w:spacing w:before="100" w:beforeAutospacing="1" w:after="100" w:afterAutospacing="1"/>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（二）禁止串通与舞弊</w:t>
      </w:r>
    </w:p>
    <w:p w14:paraId="7E29BB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1、不得与采购当事人相互串通、徇私舞弊、操纵采购结果；采购过程中严禁与供应商有工作之外的联系。</w:t>
      </w:r>
    </w:p>
    <w:p w14:paraId="212C8AB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2、供应商负面清单行为（一经查实列入负面清单，2 年内禁止参与公司所有采购活动）：弄虚作假谋取成交、有组织恶意竞标、操纵采购市场、租借资质或建立“响应联盟”围标、出借资质帮助围标、相互串通（控制评审基准价、抬高报价、收买采购代理人员或评审专家、约定部分供应商放弃响应或成交）帮助特定供应商成交。</w:t>
      </w:r>
    </w:p>
    <w:p w14:paraId="576DA6CE">
      <w:pPr>
        <w:keepNext/>
        <w:keepLines/>
        <w:spacing w:before="100" w:beforeAutospacing="1" w:after="100" w:afterAutospacing="1"/>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（三）违约责任与监督</w:t>
      </w:r>
    </w:p>
    <w:p w14:paraId="3EC13B3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 供应商（含劳务方）违约的，列入公司黑名单、赔偿损失、解除合同、向行业主管部门通报。</w:t>
      </w:r>
    </w:p>
    <w:p w14:paraId="0D7243D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2、劳务采购不得以“签证”形式变相增加合同外工作（确需签证的按原工程签证管理办法执行，并报审计法务部备案）；不得对已确定的采购结果随意变更或另行指定。</w:t>
      </w:r>
    </w:p>
    <w:p w14:paraId="6BCDE46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3、纪检监察机构责令纠正违规行为；情节严重或造成重大损失的，依纪依法追究责任。有关争议、质疑交由公司纪检核查处理。</w:t>
      </w:r>
    </w:p>
    <w:p w14:paraId="77C0E7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p w14:paraId="4DF6225D">
      <w:pPr>
        <w:pStyle w:val="2"/>
        <w:rPr>
          <w:rFonts w:hint="eastAsia"/>
        </w:rPr>
      </w:pPr>
      <w:r>
        <w:rPr>
          <w:rFonts w:hint="eastAsia"/>
          <w:lang w:val="en-US" w:eastAsia="zh-CN"/>
        </w:rPr>
        <w:t>六</w:t>
      </w:r>
      <w:r>
        <w:rPr>
          <w:rFonts w:hint="eastAsia"/>
        </w:rPr>
        <w:t>、响应文件格式</w:t>
      </w:r>
    </w:p>
    <w:p w14:paraId="63252740">
      <w:pPr>
        <w:keepNext/>
        <w:keepLines/>
        <w:spacing w:before="100" w:beforeAutospacing="1" w:after="100" w:afterAutospacing="1"/>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一、响应文件封面</w:t>
      </w:r>
    </w:p>
    <w:p w14:paraId="4DF481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某公司综合管理平台服务项目询比采购</w:t>
      </w:r>
    </w:p>
    <w:p w14:paraId="0DF29E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响应文件　　　　　　　　　正（副）本</w:t>
      </w:r>
    </w:p>
    <w:p w14:paraId="40E56C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项目编号：AQGL-2026-RJ-003</w:t>
      </w:r>
    </w:p>
    <w:p w14:paraId="3AC68D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供应商名称：　　　　　　　供应商地址：</w:t>
      </w:r>
    </w:p>
    <w:p w14:paraId="0D4785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ascii="方正仿宋_GBK" w:hAnsi="方正仿宋_GBK" w:eastAsia="方正仿宋_GBK" w:cs="方正仿宋_GBK"/>
          <w:b w:val="0"/>
          <w:bCs w:val="0"/>
          <w:color w:val="auto"/>
          <w:sz w:val="24"/>
          <w:szCs w:val="24"/>
          <w:highlight w:val="none"/>
          <w:lang w:val="en-US" w:eastAsia="zh-CN"/>
        </w:rPr>
        <w:t>日　　　期：</w:t>
      </w:r>
    </w:p>
    <w:p w14:paraId="7604D4DB">
      <w:pPr>
        <w:keepNext/>
        <w:keepLines/>
        <w:spacing w:before="100" w:beforeAutospacing="1" w:after="100" w:afterAutospacing="1"/>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lang w:val="en-US" w:eastAsia="zh-CN"/>
        </w:rPr>
        <w:t>二、</w:t>
      </w:r>
      <w:r>
        <w:rPr>
          <w:rFonts w:hint="eastAsia" w:ascii="方正楷体_GBK" w:hAnsi="方正楷体_GBK" w:eastAsia="方正楷体_GBK" w:cs="方正楷体_GBK"/>
          <w:b/>
          <w:sz w:val="32"/>
        </w:rPr>
        <w:t>响应文件格式说明</w:t>
      </w:r>
    </w:p>
    <w:p w14:paraId="72F946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供应商应按下列顺序编制响应文件，并按要求提供相应材料：</w:t>
      </w:r>
    </w:p>
    <w:p w14:paraId="533BA7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（一）询比响应函；</w:t>
      </w:r>
    </w:p>
    <w:p w14:paraId="503ABA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（二）资格声明；</w:t>
      </w:r>
    </w:p>
    <w:p w14:paraId="47FC3C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（三）法定代表人身份证明或授权委托书；</w:t>
      </w:r>
    </w:p>
    <w:p w14:paraId="5DEC6C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（四）营业执照副本（复印件加盖供应商公章）；</w:t>
      </w:r>
    </w:p>
    <w:p w14:paraId="157399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（五）依法缴纳职工社会保障资金证明（复印件加盖供应商公章）；</w:t>
      </w:r>
    </w:p>
    <w:p w14:paraId="4CF672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（六）近三个月内依法纳税缴款凭证（复印件加盖供应商公章）；</w:t>
      </w:r>
    </w:p>
    <w:p w14:paraId="20195E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（七）2025年度财务报告或财务审计报告（复印件加盖供应商公章）；</w:t>
      </w:r>
    </w:p>
    <w:p w14:paraId="4BF0F9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（八）具备履行合同所必需的设备和专业技术能力书面声明；</w:t>
      </w:r>
    </w:p>
    <w:p w14:paraId="59D2F5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（九）参加本次采购活动前3年内无重大违法记录书面声明（原件）；</w:t>
      </w:r>
    </w:p>
    <w:p w14:paraId="7D9B57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（十）信用中国网站查询截图（加盖供应商公章）；</w:t>
      </w:r>
    </w:p>
    <w:p w14:paraId="6816CE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（十一）供应商信用承诺函（原件）；</w:t>
      </w:r>
    </w:p>
    <w:p w14:paraId="015334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（十二）报价一览表、技术参数响应及偏离表、服务方案。</w:t>
      </w:r>
    </w:p>
    <w:p w14:paraId="43AA4157">
      <w:pPr>
        <w:pStyle w:val="3"/>
        <w:rPr>
          <w:rFonts w:hint="eastAsia"/>
          <w:lang w:val="en-US" w:eastAsia="zh-CN"/>
        </w:rPr>
      </w:pPr>
    </w:p>
    <w:p w14:paraId="00FD8B69">
      <w:pPr>
        <w:keepNext/>
        <w:keepLines/>
        <w:spacing w:before="100" w:beforeAutospacing="1" w:after="100" w:afterAutospacing="1"/>
        <w:jc w:val="center"/>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询比响应函</w:t>
      </w:r>
    </w:p>
    <w:p w14:paraId="7ABA68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致：（采购人名称）</w:t>
      </w:r>
    </w:p>
    <w:p w14:paraId="1823E0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我方（供应商名称）自愿参加贵方组织的（项目名称）（项目编号：　　　　）采购活动，并提交响应文件。据此函，我方声明如下：</w:t>
      </w:r>
    </w:p>
    <w:p w14:paraId="522E99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一、我方提交的响应文件及所有证明材料均真实、合法、有效，如有虚假，愿承担相应责任。</w:t>
      </w:r>
    </w:p>
    <w:p w14:paraId="3327A7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二、我方理解并愿意遵守采购文件的各项规定，包括评审办法、合同主要条款及廉政与廉洁要求。</w:t>
      </w:r>
    </w:p>
    <w:p w14:paraId="10B867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三、我方承诺在报价有效期内不撤销、不修改响应文件；若成交，按约定与采购人签订合同。</w:t>
      </w:r>
    </w:p>
    <w:p w14:paraId="1DE748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方正仿宋_GBK" w:hAnsi="方正仿宋_GBK" w:eastAsia="方正仿宋_GBK" w:cs="方正仿宋_GBK"/>
          <w:b w:val="0"/>
          <w:bCs w:val="0"/>
          <w:color w:val="auto"/>
          <w:sz w:val="24"/>
          <w:szCs w:val="24"/>
          <w:highlight w:val="none"/>
          <w:lang w:val="en-US" w:eastAsia="zh-CN"/>
        </w:rPr>
        <w:t>四、我方与采购人之间不存在可能影响采购公正性的利害关系。</w:t>
      </w:r>
    </w:p>
    <w:p w14:paraId="2D946D18">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供应商名称（公章）：</w:t>
      </w:r>
    </w:p>
    <w:p w14:paraId="5C788CC8">
      <w:pPr>
        <w:keepNext w:val="0"/>
        <w:keepLines w:val="0"/>
        <w:pageBreakBefore w:val="0"/>
        <w:widowControl w:val="0"/>
        <w:kinsoku/>
        <w:wordWrap/>
        <w:overflowPunct/>
        <w:topLinePunct w:val="0"/>
        <w:autoSpaceDE/>
        <w:autoSpaceDN/>
        <w:bidi w:val="0"/>
        <w:adjustRightInd/>
        <w:snapToGrid/>
        <w:ind w:firstLine="480" w:firstLineChars="200"/>
        <w:jc w:val="right"/>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法定代表人或授权代表（签字或盖章）：      </w:t>
      </w:r>
    </w:p>
    <w:p w14:paraId="27D39020">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楷体_GBK" w:hAnsi="方正楷体_GBK" w:eastAsia="方正楷体_GBK" w:cs="方正楷体_GBK"/>
          <w:b/>
          <w:sz w:val="32"/>
        </w:rPr>
      </w:pPr>
      <w:r>
        <w:rPr>
          <w:rFonts w:hint="eastAsia" w:ascii="方正仿宋_GBK" w:hAnsi="方正仿宋_GBK" w:eastAsia="方正仿宋_GBK" w:cs="方正仿宋_GBK"/>
          <w:b w:val="0"/>
          <w:bCs w:val="0"/>
          <w:color w:val="auto"/>
          <w:sz w:val="24"/>
          <w:szCs w:val="24"/>
          <w:highlight w:val="none"/>
          <w:lang w:val="en-US" w:eastAsia="zh-CN"/>
        </w:rPr>
        <w:t xml:space="preserve">                        日期：　　年　　月　　日</w:t>
      </w:r>
    </w:p>
    <w:p w14:paraId="22D2AC15">
      <w:pPr>
        <w:keepNext/>
        <w:keepLines/>
        <w:spacing w:before="100" w:beforeAutospacing="1" w:after="100" w:afterAutospacing="1"/>
        <w:jc w:val="center"/>
        <w:outlineLvl w:val="1"/>
        <w:rPr>
          <w:rFonts w:hint="eastAsia" w:ascii="方正楷体_GBK" w:hAnsi="方正楷体_GBK" w:eastAsia="方正楷体_GBK" w:cs="方正楷体_GBK"/>
          <w:b/>
          <w:sz w:val="32"/>
        </w:rPr>
      </w:pPr>
    </w:p>
    <w:p w14:paraId="0894B0C0">
      <w:pPr>
        <w:keepNext/>
        <w:keepLines/>
        <w:spacing w:before="100" w:beforeAutospacing="1" w:after="100" w:afterAutospacing="1"/>
        <w:jc w:val="center"/>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资格声明</w:t>
      </w:r>
    </w:p>
    <w:p w14:paraId="0342B1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本公司（供应商名称）现就参加（项目名称）采购活动作如下资格声明：</w:t>
      </w:r>
    </w:p>
    <w:p w14:paraId="683228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一、本公司为依法注册登记的法人（或其他组织），具有独立承担民事责任的能力，持续正常经营。</w:t>
      </w:r>
    </w:p>
    <w:p w14:paraId="1BFBE4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二、本公司具有履行本项目合同所必需的设备和专业技术能力。</w:t>
      </w:r>
    </w:p>
    <w:p w14:paraId="58DB71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三、本公司参加本次采购活动前三年内在经营活动中无重大违法记录。</w:t>
      </w:r>
    </w:p>
    <w:p w14:paraId="665D80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四、本公司及法定代表人未被列入失信被执行人、重大税收违法案件当事人名单。</w:t>
      </w:r>
    </w:p>
    <w:p w14:paraId="755ABE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五、本公司未为本项目提供过整体设计、规范编制或项目管理、监理、检测等服务。</w:t>
      </w:r>
    </w:p>
    <w:p w14:paraId="595B00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以上声明真实有效，如有不实，愿承担一切责任。</w:t>
      </w:r>
    </w:p>
    <w:p w14:paraId="206A250C">
      <w:pPr>
        <w:pStyle w:val="3"/>
        <w:rPr>
          <w:rFonts w:hint="eastAsia"/>
          <w:lang w:val="en-US" w:eastAsia="zh-CN"/>
        </w:rPr>
      </w:pPr>
    </w:p>
    <w:p w14:paraId="1172128A">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供应商名称（公章）：</w:t>
      </w:r>
    </w:p>
    <w:p w14:paraId="202776E9">
      <w:pPr>
        <w:keepNext w:val="0"/>
        <w:keepLines w:val="0"/>
        <w:pageBreakBefore w:val="0"/>
        <w:widowControl w:val="0"/>
        <w:kinsoku/>
        <w:wordWrap/>
        <w:overflowPunct/>
        <w:topLinePunct w:val="0"/>
        <w:autoSpaceDE/>
        <w:autoSpaceDN/>
        <w:bidi w:val="0"/>
        <w:adjustRightInd/>
        <w:snapToGrid/>
        <w:ind w:firstLine="480" w:firstLineChars="200"/>
        <w:jc w:val="right"/>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法定代表人或授权代表（签字或盖章）：</w:t>
      </w:r>
    </w:p>
    <w:p w14:paraId="597072D5">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日期：　　年　　月　　日</w:t>
      </w:r>
    </w:p>
    <w:p w14:paraId="26D90FF9">
      <w:pPr>
        <w:pStyle w:val="3"/>
        <w:rPr>
          <w:rFonts w:hint="eastAsia" w:ascii="方正仿宋_GBK" w:hAnsi="方正仿宋_GBK" w:eastAsia="方正仿宋_GBK" w:cs="方正仿宋_GBK"/>
          <w:b w:val="0"/>
          <w:bCs w:val="0"/>
          <w:color w:val="auto"/>
          <w:sz w:val="24"/>
          <w:szCs w:val="24"/>
          <w:highlight w:val="none"/>
          <w:lang w:val="en-US" w:eastAsia="zh-CN"/>
        </w:rPr>
      </w:pPr>
    </w:p>
    <w:p w14:paraId="67DDE30A">
      <w:pPr>
        <w:rPr>
          <w:rFonts w:hint="eastAsia" w:ascii="方正仿宋_GBK" w:hAnsi="方正仿宋_GBK" w:eastAsia="方正仿宋_GBK" w:cs="方正仿宋_GBK"/>
          <w:b w:val="0"/>
          <w:bCs w:val="0"/>
          <w:color w:val="auto"/>
          <w:sz w:val="24"/>
          <w:szCs w:val="24"/>
          <w:highlight w:val="none"/>
          <w:lang w:val="en-US" w:eastAsia="zh-CN"/>
        </w:rPr>
      </w:pPr>
    </w:p>
    <w:p w14:paraId="061B67EA">
      <w:pPr>
        <w:keepNext/>
        <w:keepLines/>
        <w:spacing w:before="100" w:beforeAutospacing="1" w:after="100" w:afterAutospacing="1"/>
        <w:jc w:val="center"/>
        <w:outlineLvl w:val="1"/>
        <w:rPr>
          <w:rFonts w:hint="eastAsia"/>
          <w:b/>
          <w:sz w:val="32"/>
        </w:rPr>
      </w:pPr>
    </w:p>
    <w:p w14:paraId="41375A65">
      <w:pPr>
        <w:keepNext/>
        <w:keepLines/>
        <w:spacing w:before="100" w:beforeAutospacing="1" w:after="100" w:afterAutospacing="1"/>
        <w:jc w:val="center"/>
        <w:outlineLvl w:val="1"/>
        <w:rPr>
          <w:rFonts w:hint="eastAsia"/>
          <w:b/>
          <w:sz w:val="32"/>
        </w:rPr>
      </w:pPr>
    </w:p>
    <w:p w14:paraId="58371170">
      <w:pPr>
        <w:keepNext/>
        <w:keepLines/>
        <w:spacing w:before="100" w:beforeAutospacing="1" w:after="100" w:afterAutospacing="1"/>
        <w:jc w:val="center"/>
        <w:outlineLvl w:val="1"/>
        <w:rPr>
          <w:rFonts w:hint="eastAsia"/>
          <w:b/>
          <w:sz w:val="32"/>
        </w:rPr>
      </w:pPr>
    </w:p>
    <w:p w14:paraId="6F04351F">
      <w:pPr>
        <w:keepNext/>
        <w:keepLines/>
        <w:spacing w:before="100" w:beforeAutospacing="1" w:after="100" w:afterAutospacing="1"/>
        <w:jc w:val="center"/>
        <w:outlineLvl w:val="1"/>
        <w:rPr>
          <w:rFonts w:hint="eastAsia"/>
          <w:b/>
          <w:sz w:val="32"/>
        </w:rPr>
      </w:pPr>
      <w:r>
        <w:rPr>
          <w:rFonts w:hint="eastAsia"/>
          <w:b/>
          <w:sz w:val="32"/>
        </w:rPr>
        <w:t>法定代表人授权书</w:t>
      </w:r>
    </w:p>
    <w:p w14:paraId="728EF5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法定代表人授权委托书</w:t>
      </w:r>
    </w:p>
    <w:p w14:paraId="4CA574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本授权书声明：________________（供应商名称）授权________________（被授权人的姓名）为我方就某公司综合管理平台服务项目询比采购活动的合法代理人，以本公司名义全权处理一切与该项目采购有关的事务。</w:t>
      </w:r>
    </w:p>
    <w:p w14:paraId="3530A6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本授权书于______年____月____日起生效，特此声明。</w:t>
      </w:r>
    </w:p>
    <w:p w14:paraId="21341C1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w:t>
      </w:r>
    </w:p>
    <w:p w14:paraId="265B561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被授权人签字：_______________________________     </w:t>
      </w:r>
    </w:p>
    <w:p w14:paraId="0AB893C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联系电话（手机）：                             </w:t>
      </w:r>
    </w:p>
    <w:p w14:paraId="2F7C2CB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单位名称：____________________________________</w:t>
      </w:r>
    </w:p>
    <w:p w14:paraId="3AB13C3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授权单位盖章：_________________________________</w:t>
      </w:r>
    </w:p>
    <w:p w14:paraId="7BC17B6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地址：                                         </w:t>
      </w:r>
    </w:p>
    <w:p w14:paraId="762919A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日期：                                          </w:t>
      </w:r>
    </w:p>
    <w:p w14:paraId="5D46171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被授权人身份证复印件：</w:t>
      </w:r>
    </w:p>
    <w:p w14:paraId="3DA8D0E5">
      <w:pPr>
        <w:pStyle w:val="3"/>
        <w:rPr>
          <w:rFonts w:hint="eastAsia" w:ascii="方正仿宋_GBK" w:hAnsi="方正仿宋_GBK" w:eastAsia="方正仿宋_GBK" w:cs="方正仿宋_GBK"/>
          <w:b w:val="0"/>
          <w:bCs w:val="0"/>
          <w:color w:val="auto"/>
          <w:sz w:val="24"/>
          <w:szCs w:val="24"/>
          <w:highlight w:val="none"/>
          <w:lang w:val="en-US" w:eastAsia="zh-CN"/>
        </w:rPr>
      </w:pPr>
    </w:p>
    <w:p w14:paraId="085D4517">
      <w:pPr>
        <w:rPr>
          <w:rFonts w:hint="eastAsia" w:ascii="方正仿宋_GBK" w:hAnsi="方正仿宋_GBK" w:eastAsia="方正仿宋_GBK" w:cs="方正仿宋_GBK"/>
          <w:b w:val="0"/>
          <w:bCs w:val="0"/>
          <w:color w:val="auto"/>
          <w:sz w:val="24"/>
          <w:szCs w:val="24"/>
          <w:highlight w:val="none"/>
          <w:lang w:val="en-US" w:eastAsia="zh-CN"/>
        </w:rPr>
      </w:pPr>
    </w:p>
    <w:p w14:paraId="26E6C3C7">
      <w:pPr>
        <w:pStyle w:val="19"/>
        <w:rPr>
          <w:rFonts w:hint="eastAsia" w:ascii="方正仿宋_GBK" w:hAnsi="方正仿宋_GBK" w:eastAsia="方正仿宋_GBK" w:cs="方正仿宋_GBK"/>
          <w:b w:val="0"/>
          <w:bCs w:val="0"/>
          <w:color w:val="auto"/>
          <w:sz w:val="24"/>
          <w:szCs w:val="24"/>
          <w:highlight w:val="none"/>
          <w:lang w:val="en-US" w:eastAsia="zh-CN"/>
        </w:rPr>
      </w:pPr>
    </w:p>
    <w:p w14:paraId="54ABC20A">
      <w:pPr>
        <w:pStyle w:val="19"/>
        <w:rPr>
          <w:rFonts w:hint="eastAsia" w:ascii="方正仿宋_GBK" w:hAnsi="方正仿宋_GBK" w:eastAsia="方正仿宋_GBK" w:cs="方正仿宋_GBK"/>
          <w:b w:val="0"/>
          <w:bCs w:val="0"/>
          <w:color w:val="auto"/>
          <w:sz w:val="24"/>
          <w:szCs w:val="24"/>
          <w:highlight w:val="none"/>
          <w:lang w:val="en-US" w:eastAsia="zh-CN"/>
        </w:rPr>
      </w:pPr>
    </w:p>
    <w:p w14:paraId="214555CC">
      <w:pPr>
        <w:pStyle w:val="3"/>
        <w:rPr>
          <w:rFonts w:hint="eastAsia" w:ascii="方正仿宋_GBK" w:hAnsi="方正仿宋_GBK" w:eastAsia="方正仿宋_GBK" w:cs="方正仿宋_GBK"/>
          <w:b w:val="0"/>
          <w:bCs w:val="0"/>
          <w:color w:val="auto"/>
          <w:sz w:val="24"/>
          <w:szCs w:val="24"/>
          <w:highlight w:val="none"/>
          <w:lang w:val="en-US" w:eastAsia="zh-CN"/>
        </w:rPr>
      </w:pPr>
    </w:p>
    <w:p w14:paraId="106D3DDC">
      <w:pPr>
        <w:keepNext/>
        <w:keepLines/>
        <w:spacing w:before="100" w:beforeAutospacing="1" w:after="100" w:afterAutospacing="1"/>
        <w:jc w:val="center"/>
        <w:outlineLvl w:val="1"/>
        <w:rPr>
          <w:rFonts w:hint="eastAsia" w:ascii="Times New Roman" w:hAnsi="Times New Roman" w:eastAsia="宋体" w:cs="Times New Roman"/>
          <w:b/>
          <w:sz w:val="32"/>
        </w:rPr>
      </w:pPr>
      <w:r>
        <w:rPr>
          <w:rFonts w:hint="eastAsia" w:ascii="Times New Roman" w:hAnsi="Times New Roman" w:eastAsia="宋体" w:cs="Times New Roman"/>
          <w:b/>
          <w:sz w:val="32"/>
        </w:rPr>
        <w:t>具备履行合同所必需的设备和专业技术能力的书面声明</w:t>
      </w:r>
    </w:p>
    <w:p w14:paraId="49EACAC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我单位郑重声明：我单位具备履行本项采购合同所必需的设备和专业技术能力，为履行本项采购合同我公司具备如下主要设备和主要专业技术能力：</w:t>
      </w:r>
    </w:p>
    <w:p w14:paraId="4F732F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主要设备有：           。</w:t>
      </w:r>
    </w:p>
    <w:p w14:paraId="45320F7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主要专业技术能力有：                        </w:t>
      </w:r>
    </w:p>
    <w:p w14:paraId="4BFF506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p w14:paraId="5416DC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p w14:paraId="75E3FE61">
      <w:pPr>
        <w:pStyle w:val="19"/>
        <w:rPr>
          <w:rFonts w:hint="eastAsia" w:ascii="方正仿宋_GBK" w:hAnsi="方正仿宋_GBK" w:eastAsia="方正仿宋_GBK" w:cs="方正仿宋_GBK"/>
          <w:b w:val="0"/>
          <w:bCs w:val="0"/>
          <w:color w:val="auto"/>
          <w:sz w:val="24"/>
          <w:szCs w:val="24"/>
          <w:highlight w:val="none"/>
          <w:lang w:val="en-US" w:eastAsia="zh-CN"/>
        </w:rPr>
      </w:pPr>
    </w:p>
    <w:p w14:paraId="70E68F3F">
      <w:pPr>
        <w:pStyle w:val="19"/>
        <w:rPr>
          <w:rFonts w:hint="eastAsia" w:ascii="方正仿宋_GBK" w:hAnsi="方正仿宋_GBK" w:eastAsia="方正仿宋_GBK" w:cs="方正仿宋_GBK"/>
          <w:b w:val="0"/>
          <w:bCs w:val="0"/>
          <w:color w:val="auto"/>
          <w:sz w:val="24"/>
          <w:szCs w:val="24"/>
          <w:highlight w:val="none"/>
          <w:lang w:val="en-US" w:eastAsia="zh-CN"/>
        </w:rPr>
      </w:pPr>
    </w:p>
    <w:p w14:paraId="6D43B925">
      <w:pPr>
        <w:pStyle w:val="19"/>
        <w:rPr>
          <w:rFonts w:hint="eastAsia" w:ascii="方正仿宋_GBK" w:hAnsi="方正仿宋_GBK" w:eastAsia="方正仿宋_GBK" w:cs="方正仿宋_GBK"/>
          <w:b w:val="0"/>
          <w:bCs w:val="0"/>
          <w:color w:val="auto"/>
          <w:sz w:val="24"/>
          <w:szCs w:val="24"/>
          <w:highlight w:val="none"/>
          <w:lang w:val="en-US" w:eastAsia="zh-CN"/>
        </w:rPr>
      </w:pPr>
    </w:p>
    <w:p w14:paraId="0E631066">
      <w:pPr>
        <w:pStyle w:val="19"/>
        <w:rPr>
          <w:rFonts w:hint="eastAsia" w:ascii="方正仿宋_GBK" w:hAnsi="方正仿宋_GBK" w:eastAsia="方正仿宋_GBK" w:cs="方正仿宋_GBK"/>
          <w:b w:val="0"/>
          <w:bCs w:val="0"/>
          <w:color w:val="auto"/>
          <w:sz w:val="24"/>
          <w:szCs w:val="24"/>
          <w:highlight w:val="none"/>
          <w:lang w:val="en-US" w:eastAsia="zh-CN"/>
        </w:rPr>
      </w:pPr>
    </w:p>
    <w:p w14:paraId="6FFC4253">
      <w:pPr>
        <w:pStyle w:val="19"/>
        <w:rPr>
          <w:rFonts w:hint="eastAsia" w:ascii="方正仿宋_GBK" w:hAnsi="方正仿宋_GBK" w:eastAsia="方正仿宋_GBK" w:cs="方正仿宋_GBK"/>
          <w:b w:val="0"/>
          <w:bCs w:val="0"/>
          <w:color w:val="auto"/>
          <w:sz w:val="24"/>
          <w:szCs w:val="24"/>
          <w:highlight w:val="none"/>
          <w:lang w:val="en-US" w:eastAsia="zh-CN"/>
        </w:rPr>
      </w:pPr>
    </w:p>
    <w:p w14:paraId="2A516E36">
      <w:pPr>
        <w:pStyle w:val="19"/>
        <w:rPr>
          <w:rFonts w:hint="eastAsia" w:ascii="方正仿宋_GBK" w:hAnsi="方正仿宋_GBK" w:eastAsia="方正仿宋_GBK" w:cs="方正仿宋_GBK"/>
          <w:b w:val="0"/>
          <w:bCs w:val="0"/>
          <w:color w:val="auto"/>
          <w:sz w:val="24"/>
          <w:szCs w:val="24"/>
          <w:highlight w:val="none"/>
          <w:lang w:val="en-US" w:eastAsia="zh-CN"/>
        </w:rPr>
      </w:pPr>
    </w:p>
    <w:p w14:paraId="400C101C">
      <w:pPr>
        <w:pStyle w:val="19"/>
        <w:rPr>
          <w:rFonts w:hint="eastAsia" w:ascii="方正仿宋_GBK" w:hAnsi="方正仿宋_GBK" w:eastAsia="方正仿宋_GBK" w:cs="方正仿宋_GBK"/>
          <w:b w:val="0"/>
          <w:bCs w:val="0"/>
          <w:color w:val="auto"/>
          <w:sz w:val="24"/>
          <w:szCs w:val="24"/>
          <w:highlight w:val="none"/>
          <w:lang w:val="en-US" w:eastAsia="zh-CN"/>
        </w:rPr>
      </w:pPr>
    </w:p>
    <w:p w14:paraId="5C27FE92">
      <w:pPr>
        <w:pStyle w:val="19"/>
        <w:rPr>
          <w:rFonts w:hint="eastAsia" w:ascii="方正仿宋_GBK" w:hAnsi="方正仿宋_GBK" w:eastAsia="方正仿宋_GBK" w:cs="方正仿宋_GBK"/>
          <w:b w:val="0"/>
          <w:bCs w:val="0"/>
          <w:color w:val="auto"/>
          <w:sz w:val="24"/>
          <w:szCs w:val="24"/>
          <w:highlight w:val="none"/>
          <w:lang w:val="en-US" w:eastAsia="zh-CN"/>
        </w:rPr>
      </w:pPr>
    </w:p>
    <w:p w14:paraId="3E392370">
      <w:pPr>
        <w:pStyle w:val="19"/>
        <w:rPr>
          <w:rFonts w:hint="eastAsia" w:ascii="方正仿宋_GBK" w:hAnsi="方正仿宋_GBK" w:eastAsia="方正仿宋_GBK" w:cs="方正仿宋_GBK"/>
          <w:b w:val="0"/>
          <w:bCs w:val="0"/>
          <w:color w:val="auto"/>
          <w:sz w:val="24"/>
          <w:szCs w:val="24"/>
          <w:highlight w:val="none"/>
          <w:lang w:val="en-US" w:eastAsia="zh-CN"/>
        </w:rPr>
      </w:pPr>
    </w:p>
    <w:p w14:paraId="07A6D740">
      <w:pPr>
        <w:pStyle w:val="19"/>
        <w:rPr>
          <w:rFonts w:hint="eastAsia" w:ascii="方正仿宋_GBK" w:hAnsi="方正仿宋_GBK" w:eastAsia="方正仿宋_GBK" w:cs="方正仿宋_GBK"/>
          <w:b w:val="0"/>
          <w:bCs w:val="0"/>
          <w:color w:val="auto"/>
          <w:sz w:val="24"/>
          <w:szCs w:val="24"/>
          <w:highlight w:val="none"/>
          <w:lang w:val="en-US" w:eastAsia="zh-CN"/>
        </w:rPr>
      </w:pPr>
    </w:p>
    <w:p w14:paraId="283EB577">
      <w:pPr>
        <w:pStyle w:val="19"/>
        <w:rPr>
          <w:rFonts w:hint="eastAsia" w:ascii="方正仿宋_GBK" w:hAnsi="方正仿宋_GBK" w:eastAsia="方正仿宋_GBK" w:cs="方正仿宋_GBK"/>
          <w:b w:val="0"/>
          <w:bCs w:val="0"/>
          <w:color w:val="auto"/>
          <w:sz w:val="24"/>
          <w:szCs w:val="24"/>
          <w:highlight w:val="none"/>
          <w:lang w:val="en-US" w:eastAsia="zh-CN"/>
        </w:rPr>
      </w:pPr>
    </w:p>
    <w:p w14:paraId="289F5CB4">
      <w:pPr>
        <w:pStyle w:val="19"/>
        <w:rPr>
          <w:rFonts w:hint="eastAsia" w:ascii="方正仿宋_GBK" w:hAnsi="方正仿宋_GBK" w:eastAsia="方正仿宋_GBK" w:cs="方正仿宋_GBK"/>
          <w:b w:val="0"/>
          <w:bCs w:val="0"/>
          <w:color w:val="auto"/>
          <w:sz w:val="24"/>
          <w:szCs w:val="24"/>
          <w:highlight w:val="none"/>
          <w:lang w:val="en-US" w:eastAsia="zh-CN"/>
        </w:rPr>
      </w:pPr>
    </w:p>
    <w:p w14:paraId="72BD16AB">
      <w:pPr>
        <w:pStyle w:val="19"/>
        <w:rPr>
          <w:rFonts w:hint="eastAsia" w:ascii="方正仿宋_GBK" w:hAnsi="方正仿宋_GBK" w:eastAsia="方正仿宋_GBK" w:cs="方正仿宋_GBK"/>
          <w:b w:val="0"/>
          <w:bCs w:val="0"/>
          <w:color w:val="auto"/>
          <w:sz w:val="24"/>
          <w:szCs w:val="24"/>
          <w:highlight w:val="none"/>
          <w:lang w:val="en-US" w:eastAsia="zh-CN"/>
        </w:rPr>
      </w:pPr>
    </w:p>
    <w:p w14:paraId="18B047A3">
      <w:pPr>
        <w:pStyle w:val="19"/>
        <w:rPr>
          <w:rFonts w:hint="eastAsia" w:ascii="方正仿宋_GBK" w:hAnsi="方正仿宋_GBK" w:eastAsia="方正仿宋_GBK" w:cs="方正仿宋_GBK"/>
          <w:b w:val="0"/>
          <w:bCs w:val="0"/>
          <w:color w:val="auto"/>
          <w:sz w:val="24"/>
          <w:szCs w:val="24"/>
          <w:highlight w:val="none"/>
          <w:lang w:val="en-US" w:eastAsia="zh-CN"/>
        </w:rPr>
      </w:pPr>
    </w:p>
    <w:p w14:paraId="6F9CF7A3">
      <w:pPr>
        <w:keepNext/>
        <w:keepLines/>
        <w:spacing w:before="100" w:beforeAutospacing="1" w:after="100" w:afterAutospacing="1"/>
        <w:jc w:val="center"/>
        <w:outlineLvl w:val="1"/>
        <w:rPr>
          <w:rFonts w:hint="eastAsia" w:ascii="Times New Roman" w:hAnsi="Times New Roman" w:eastAsia="宋体" w:cs="Times New Roman"/>
          <w:b/>
          <w:sz w:val="32"/>
        </w:rPr>
      </w:pPr>
      <w:r>
        <w:rPr>
          <w:rFonts w:hint="eastAsia" w:ascii="Times New Roman" w:hAnsi="Times New Roman" w:eastAsia="宋体" w:cs="Times New Roman"/>
          <w:b/>
          <w:sz w:val="32"/>
        </w:rPr>
        <w:t>参加本次采购活动前 3 年内在经营活动中没有重大违法记录的书面声明</w:t>
      </w:r>
    </w:p>
    <w:p w14:paraId="73D510BD">
      <w:pPr>
        <w:spacing w:after="312" w:line="360" w:lineRule="auto"/>
        <w:jc w:val="center"/>
        <w:rPr>
          <w:b/>
          <w:bCs/>
          <w:szCs w:val="21"/>
        </w:rPr>
      </w:pPr>
      <w:r>
        <w:rPr>
          <w:rFonts w:hint="eastAsia"/>
          <w:b/>
          <w:bCs/>
          <w:szCs w:val="21"/>
        </w:rPr>
        <w:t>声  明</w:t>
      </w:r>
    </w:p>
    <w:p w14:paraId="4FF00B7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我公司郑重声明：参加本次采购活动前 3 年内，我公司在经营活动中没有因违法经营受到刑事处罚或者责令停产停业、吊销许可证或者执照、较大数额罚款等行政处罚。</w:t>
      </w:r>
    </w:p>
    <w:p w14:paraId="46F5726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供应商名称（公章）：</w:t>
      </w:r>
    </w:p>
    <w:p w14:paraId="5131E76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法定代表人或授权代表（签字或盖章）：            </w:t>
      </w:r>
    </w:p>
    <w:p w14:paraId="02863C8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日期：     年    月    日</w:t>
      </w:r>
    </w:p>
    <w:p w14:paraId="6E3485D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sectPr>
          <w:pgSz w:w="11906" w:h="16838"/>
          <w:pgMar w:top="1440" w:right="1800" w:bottom="1440" w:left="1803" w:header="851" w:footer="992" w:gutter="0"/>
          <w:cols w:space="720" w:num="1"/>
          <w:docGrid w:linePitch="360" w:charSpace="0"/>
        </w:sectPr>
      </w:pPr>
      <w:r>
        <w:rPr>
          <w:rFonts w:hint="eastAsia" w:ascii="方正仿宋_GBK" w:hAnsi="方正仿宋_GBK" w:eastAsia="方正仿宋_GBK" w:cs="方正仿宋_GBK"/>
          <w:b w:val="0"/>
          <w:bCs w:val="0"/>
          <w:color w:val="auto"/>
          <w:sz w:val="24"/>
          <w:szCs w:val="24"/>
          <w:highlight w:val="none"/>
          <w:lang w:val="en-US" w:eastAsia="zh-CN"/>
        </w:rPr>
        <w:t xml:space="preserve">       。   </w:t>
      </w:r>
    </w:p>
    <w:p w14:paraId="19D5D7C4">
      <w:pPr>
        <w:keepNext/>
        <w:keepLines/>
        <w:spacing w:before="100" w:beforeAutospacing="1" w:after="100" w:afterAutospacing="1"/>
        <w:jc w:val="center"/>
        <w:outlineLvl w:val="1"/>
        <w:rPr>
          <w:rFonts w:hint="eastAsia" w:ascii="Times New Roman" w:hAnsi="Times New Roman" w:eastAsia="宋体" w:cs="Times New Roman"/>
          <w:b/>
          <w:sz w:val="32"/>
        </w:rPr>
      </w:pPr>
      <w:r>
        <w:rPr>
          <w:rFonts w:hint="eastAsia" w:ascii="Times New Roman" w:hAnsi="Times New Roman" w:eastAsia="宋体" w:cs="Times New Roman"/>
          <w:b/>
          <w:sz w:val="32"/>
        </w:rPr>
        <w:t>供应商信用承诺书</w:t>
      </w:r>
    </w:p>
    <w:p w14:paraId="3BC34090">
      <w:pPr>
        <w:pStyle w:val="21"/>
        <w:numPr>
          <w:ilvl w:val="0"/>
          <w:numId w:val="0"/>
        </w:numPr>
        <w:ind w:left="420"/>
        <w:rPr>
          <w:b/>
          <w:szCs w:val="21"/>
        </w:rPr>
      </w:pPr>
    </w:p>
    <w:p w14:paraId="4C909D4B">
      <w:pPr>
        <w:spacing w:line="312" w:lineRule="auto"/>
        <w:rPr>
          <w:rFonts w:hint="eastAsia" w:ascii="方正仿宋_GBK" w:hAnsi="方正仿宋_GBK" w:eastAsia="方正仿宋_GBK" w:cs="方正仿宋_GBK"/>
          <w:color w:val="auto"/>
          <w:szCs w:val="21"/>
          <w:u w:val="single"/>
        </w:rPr>
      </w:pPr>
      <w:r>
        <w:rPr>
          <w:rFonts w:hint="eastAsia" w:ascii="方正仿宋_GBK" w:hAnsi="方正仿宋_GBK" w:eastAsia="方正仿宋_GBK" w:cs="方正仿宋_GBK"/>
          <w:color w:val="auto"/>
          <w:szCs w:val="21"/>
        </w:rPr>
        <w:t>承诺主体名称：</w:t>
      </w:r>
      <w:r>
        <w:rPr>
          <w:rFonts w:hint="eastAsia" w:ascii="方正仿宋_GBK" w:hAnsi="方正仿宋_GBK" w:eastAsia="方正仿宋_GBK" w:cs="方正仿宋_GBK"/>
          <w:color w:val="auto"/>
          <w:szCs w:val="21"/>
          <w:u w:val="single"/>
        </w:rPr>
        <w:t xml:space="preserve">                           </w:t>
      </w:r>
    </w:p>
    <w:p w14:paraId="62EF1CF0">
      <w:pPr>
        <w:spacing w:line="312" w:lineRule="auto"/>
        <w:rPr>
          <w:rFonts w:hint="eastAsia" w:ascii="方正仿宋_GBK" w:hAnsi="方正仿宋_GBK" w:eastAsia="方正仿宋_GBK" w:cs="方正仿宋_GBK"/>
          <w:color w:val="auto"/>
          <w:szCs w:val="21"/>
          <w:u w:val="single"/>
        </w:rPr>
      </w:pPr>
      <w:r>
        <w:rPr>
          <w:rFonts w:hint="eastAsia" w:ascii="方正仿宋_GBK" w:hAnsi="方正仿宋_GBK" w:eastAsia="方正仿宋_GBK" w:cs="方正仿宋_GBK"/>
          <w:color w:val="auto"/>
          <w:szCs w:val="21"/>
        </w:rPr>
        <w:t>统一社会信用代码：</w:t>
      </w:r>
      <w:r>
        <w:rPr>
          <w:rFonts w:hint="eastAsia" w:ascii="方正仿宋_GBK" w:hAnsi="方正仿宋_GBK" w:eastAsia="方正仿宋_GBK" w:cs="方正仿宋_GBK"/>
          <w:color w:val="auto"/>
          <w:szCs w:val="21"/>
          <w:u w:val="single"/>
        </w:rPr>
        <w:t xml:space="preserve">                        </w:t>
      </w:r>
    </w:p>
    <w:p w14:paraId="0A360319">
      <w:pPr>
        <w:spacing w:line="312" w:lineRule="auto"/>
        <w:ind w:firstLine="420"/>
        <w:rPr>
          <w:rFonts w:hint="eastAsia" w:ascii="方正仿宋_GBK" w:hAnsi="方正仿宋_GBK" w:eastAsia="方正仿宋_GBK" w:cs="方正仿宋_GBK"/>
          <w:color w:val="auto"/>
          <w:szCs w:val="21"/>
        </w:rPr>
      </w:pPr>
      <w:r>
        <w:rPr>
          <w:rFonts w:hint="eastAsia" w:ascii="方正仿宋_GBK" w:hAnsi="方正仿宋_GBK" w:eastAsia="方正仿宋_GBK" w:cs="方正仿宋_GBK"/>
          <w:color w:val="auto"/>
          <w:szCs w:val="21"/>
        </w:rPr>
        <w:t>为维护公平竞争、规范有序的市场秩序，营造诚实守信的信用环境，共同推进社会信用体系建设完善，树立企业诚信守法形象，本企业对________________________（项目名称）项目采购活动郑重承诺如下:</w:t>
      </w:r>
    </w:p>
    <w:p w14:paraId="55219CBD">
      <w:pPr>
        <w:spacing w:line="312" w:lineRule="auto"/>
        <w:ind w:firstLine="420"/>
        <w:rPr>
          <w:rFonts w:hint="eastAsia" w:ascii="方正仿宋_GBK" w:hAnsi="方正仿宋_GBK" w:eastAsia="方正仿宋_GBK" w:cs="方正仿宋_GBK"/>
          <w:color w:val="auto"/>
          <w:szCs w:val="21"/>
        </w:rPr>
      </w:pPr>
      <w:r>
        <w:rPr>
          <w:rFonts w:hint="eastAsia" w:ascii="方正仿宋_GBK" w:hAnsi="方正仿宋_GBK" w:eastAsia="方正仿宋_GBK" w:cs="方正仿宋_GBK"/>
          <w:color w:val="auto"/>
          <w:szCs w:val="21"/>
        </w:rPr>
        <w:t>一、对提供给注册登记部门、行业管理部门、司法部门、行业组织以及在采购活动中提交的所有资料的合法性、真实性、准确性和有效性负责；</w:t>
      </w:r>
    </w:p>
    <w:p w14:paraId="0586E384">
      <w:pPr>
        <w:spacing w:line="312" w:lineRule="auto"/>
        <w:ind w:firstLine="420"/>
        <w:rPr>
          <w:rFonts w:hint="eastAsia" w:ascii="方正仿宋_GBK" w:hAnsi="方正仿宋_GBK" w:eastAsia="方正仿宋_GBK" w:cs="方正仿宋_GBK"/>
          <w:color w:val="auto"/>
          <w:szCs w:val="21"/>
        </w:rPr>
      </w:pPr>
      <w:r>
        <w:rPr>
          <w:rFonts w:hint="eastAsia" w:ascii="方正仿宋_GBK" w:hAnsi="方正仿宋_GBK" w:eastAsia="方正仿宋_GBK" w:cs="方正仿宋_GBK"/>
          <w:color w:val="auto"/>
          <w:szCs w:val="21"/>
        </w:rPr>
        <w:t>二、严格按照国家法律、法规和规章开展采购活动，全面履行应尽的责任和义务，全面做到履约守信，具备履行本项目合同所必需的设备和专业技术能力等条件;</w:t>
      </w:r>
    </w:p>
    <w:p w14:paraId="22D3052A">
      <w:pPr>
        <w:spacing w:line="312" w:lineRule="auto"/>
        <w:ind w:firstLine="420"/>
        <w:rPr>
          <w:rFonts w:hint="eastAsia" w:ascii="方正仿宋_GBK" w:hAnsi="方正仿宋_GBK" w:eastAsia="方正仿宋_GBK" w:cs="方正仿宋_GBK"/>
          <w:color w:val="auto"/>
          <w:szCs w:val="21"/>
        </w:rPr>
      </w:pPr>
      <w:r>
        <w:rPr>
          <w:rFonts w:hint="eastAsia" w:ascii="方正仿宋_GBK" w:hAnsi="方正仿宋_GBK" w:eastAsia="方正仿宋_GBK" w:cs="方正仿宋_GBK"/>
          <w:color w:val="auto"/>
          <w:szCs w:val="21"/>
        </w:rPr>
        <w:t>三、严格依法开展生产经营活动，主动接受行业监管，自愿接受依法开展的日常检查；违法失信经营后将自愿接受约束和惩戒，并依法承担相应责任；</w:t>
      </w:r>
    </w:p>
    <w:p w14:paraId="1479D74E">
      <w:pPr>
        <w:spacing w:line="312" w:lineRule="auto"/>
        <w:ind w:firstLine="420"/>
        <w:rPr>
          <w:rFonts w:hint="eastAsia" w:ascii="方正仿宋_GBK" w:hAnsi="方正仿宋_GBK" w:eastAsia="方正仿宋_GBK" w:cs="方正仿宋_GBK"/>
          <w:color w:val="auto"/>
          <w:szCs w:val="21"/>
        </w:rPr>
      </w:pPr>
      <w:r>
        <w:rPr>
          <w:rFonts w:hint="eastAsia" w:ascii="方正仿宋_GBK" w:hAnsi="方正仿宋_GBK" w:eastAsia="方正仿宋_GBK" w:cs="方正仿宋_GBK"/>
          <w:color w:val="auto"/>
          <w:szCs w:val="21"/>
        </w:rPr>
        <w:t>四、自觉接受行政管理部门、行业组织、社会公众、新闻舆论的监督；</w:t>
      </w:r>
    </w:p>
    <w:p w14:paraId="214583E9">
      <w:pPr>
        <w:spacing w:line="312" w:lineRule="auto"/>
        <w:ind w:firstLine="420"/>
        <w:rPr>
          <w:rFonts w:hint="eastAsia" w:ascii="方正仿宋_GBK" w:hAnsi="方正仿宋_GBK" w:eastAsia="方正仿宋_GBK" w:cs="方正仿宋_GBK"/>
          <w:color w:val="auto"/>
          <w:szCs w:val="21"/>
        </w:rPr>
      </w:pPr>
      <w:r>
        <w:rPr>
          <w:rFonts w:hint="eastAsia" w:ascii="方正仿宋_GBK" w:hAnsi="方正仿宋_GBK" w:eastAsia="方正仿宋_GBK" w:cs="方正仿宋_GBK"/>
          <w:color w:val="auto"/>
          <w:szCs w:val="21"/>
        </w:rPr>
        <w:t>五、自觉做到自我约束、自我管理，不制假售假、商标侵权、虚假宣传、违约毁约、恶意逃债、偷税漏税、垄断和不正当竞争，维护经营者、消费者的合法权益；</w:t>
      </w:r>
    </w:p>
    <w:p w14:paraId="02E23A72">
      <w:pPr>
        <w:spacing w:line="312" w:lineRule="auto"/>
        <w:ind w:firstLine="420"/>
        <w:rPr>
          <w:rFonts w:hint="eastAsia" w:ascii="方正仿宋_GBK" w:hAnsi="方正仿宋_GBK" w:eastAsia="方正仿宋_GBK" w:cs="方正仿宋_GBK"/>
          <w:color w:val="auto"/>
          <w:szCs w:val="21"/>
        </w:rPr>
      </w:pPr>
      <w:r>
        <w:rPr>
          <w:rFonts w:hint="eastAsia" w:ascii="方正仿宋_GBK" w:hAnsi="方正仿宋_GBK" w:eastAsia="方正仿宋_GBK" w:cs="方正仿宋_GBK"/>
          <w:color w:val="auto"/>
          <w:szCs w:val="21"/>
        </w:rPr>
        <w:t>六、提出质疑和异议坚持依法依规、诚实信用原则，在全国范围12个月内没有三次以上查无实据的恶意投诉；</w:t>
      </w:r>
    </w:p>
    <w:p w14:paraId="3BE8CEC1">
      <w:pPr>
        <w:spacing w:line="312" w:lineRule="auto"/>
        <w:ind w:firstLine="420"/>
        <w:rPr>
          <w:rFonts w:hint="eastAsia" w:ascii="方正仿宋_GBK" w:hAnsi="方正仿宋_GBK" w:eastAsia="方正仿宋_GBK" w:cs="方正仿宋_GBK"/>
          <w:color w:val="auto"/>
          <w:szCs w:val="21"/>
        </w:rPr>
      </w:pPr>
      <w:r>
        <w:rPr>
          <w:rFonts w:hint="eastAsia" w:ascii="方正仿宋_GBK" w:hAnsi="方正仿宋_GBK" w:eastAsia="方正仿宋_GBK" w:cs="方正仿宋_GBK"/>
          <w:color w:val="auto"/>
          <w:szCs w:val="21"/>
        </w:rPr>
        <w:t>七、严格遵守信用信息公示相关规定，向社会公示信用信息；</w:t>
      </w:r>
    </w:p>
    <w:p w14:paraId="6D508373">
      <w:pPr>
        <w:spacing w:line="312" w:lineRule="auto"/>
        <w:ind w:firstLine="420"/>
        <w:rPr>
          <w:rFonts w:hint="eastAsia" w:ascii="方正仿宋_GBK" w:hAnsi="方正仿宋_GBK" w:eastAsia="方正仿宋_GBK" w:cs="方正仿宋_GBK"/>
          <w:color w:val="auto"/>
          <w:szCs w:val="21"/>
        </w:rPr>
      </w:pPr>
      <w:r>
        <w:rPr>
          <w:rFonts w:hint="eastAsia" w:ascii="方正仿宋_GBK" w:hAnsi="方正仿宋_GBK" w:eastAsia="方正仿宋_GBK" w:cs="方正仿宋_GBK"/>
          <w:color w:val="auto"/>
          <w:szCs w:val="21"/>
        </w:rPr>
        <w:t>八、在“信用中国”网站中无违法违规、较重或严重失信记录；</w:t>
      </w:r>
    </w:p>
    <w:p w14:paraId="44CFD29B">
      <w:pPr>
        <w:spacing w:line="312" w:lineRule="auto"/>
        <w:ind w:firstLine="420"/>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九、如违反承诺，自愿接受管理部门依法给予的行政处罚，同意将违反承诺的行为作为不良记录记入信用档案，依法依规进行信息公示，并承担所产生的一切法律责任和经济损失。</w:t>
      </w:r>
    </w:p>
    <w:p w14:paraId="73CF59A6">
      <w:pPr>
        <w:spacing w:line="312" w:lineRule="auto"/>
        <w:ind w:firstLine="420"/>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十、本承诺书自签订之日起生效。</w:t>
      </w:r>
    </w:p>
    <w:p w14:paraId="74AF313C">
      <w:pPr>
        <w:spacing w:line="312" w:lineRule="auto"/>
        <w:ind w:firstLine="420"/>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 （注：法定代表人或负责人、主体名称发生变更的应当重新做出承诺。）</w:t>
      </w:r>
    </w:p>
    <w:p w14:paraId="0000B56D">
      <w:pPr>
        <w:pStyle w:val="21"/>
        <w:numPr>
          <w:ilvl w:val="0"/>
          <w:numId w:val="0"/>
        </w:numPr>
        <w:tabs>
          <w:tab w:val="clear" w:pos="780"/>
        </w:tabs>
        <w:spacing w:line="312" w:lineRule="auto"/>
        <w:ind w:left="420"/>
        <w:rPr>
          <w:rFonts w:hint="eastAsia" w:ascii="方正仿宋_GBK" w:hAnsi="方正仿宋_GBK" w:eastAsia="方正仿宋_GBK" w:cs="方正仿宋_GBK"/>
          <w:szCs w:val="21"/>
        </w:rPr>
      </w:pPr>
    </w:p>
    <w:p w14:paraId="363CB5FE">
      <w:pPr>
        <w:spacing w:line="360" w:lineRule="auto"/>
        <w:ind w:firstLine="3990" w:firstLineChars="1900"/>
        <w:jc w:val="left"/>
        <w:rPr>
          <w:rFonts w:hint="eastAsia" w:ascii="方正仿宋_GBK" w:hAnsi="方正仿宋_GBK" w:eastAsia="方正仿宋_GBK" w:cs="方正仿宋_GBK"/>
          <w:szCs w:val="21"/>
        </w:rPr>
      </w:pPr>
      <w:r>
        <w:rPr>
          <w:rFonts w:hint="eastAsia" w:ascii="方正仿宋_GBK" w:hAnsi="方正仿宋_GBK" w:eastAsia="方正仿宋_GBK" w:cs="方正仿宋_GBK"/>
          <w:color w:val="auto"/>
          <w:szCs w:val="21"/>
        </w:rPr>
        <w:t>供应商：（公章）</w:t>
      </w:r>
      <w:r>
        <w:rPr>
          <w:rFonts w:hint="eastAsia" w:ascii="方正仿宋_GBK" w:hAnsi="方正仿宋_GBK" w:eastAsia="方正仿宋_GBK" w:cs="方正仿宋_GBK"/>
          <w:szCs w:val="21"/>
        </w:rPr>
        <w:t>：</w:t>
      </w:r>
    </w:p>
    <w:p w14:paraId="521EAF3C">
      <w:pPr>
        <w:spacing w:line="312" w:lineRule="auto"/>
        <w:ind w:firstLine="42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 xml:space="preserve">                            </w:t>
      </w:r>
      <w:r>
        <w:rPr>
          <w:rFonts w:hint="eastAsia" w:ascii="方正仿宋_GBK" w:hAnsi="方正仿宋_GBK" w:eastAsia="方正仿宋_GBK" w:cs="方正仿宋_GBK"/>
          <w:szCs w:val="21"/>
          <w:lang w:val="en-US" w:eastAsia="zh-CN"/>
        </w:rPr>
        <w:t xml:space="preserve">   </w:t>
      </w:r>
      <w:r>
        <w:rPr>
          <w:rFonts w:hint="eastAsia" w:ascii="方正仿宋_GBK" w:hAnsi="方正仿宋_GBK" w:eastAsia="方正仿宋_GBK" w:cs="方正仿宋_GBK"/>
          <w:szCs w:val="21"/>
        </w:rPr>
        <w:t>法定代表人或者授权代表（签字或盖章）：</w:t>
      </w:r>
    </w:p>
    <w:p w14:paraId="7E356FE1">
      <w:pPr>
        <w:spacing w:line="312" w:lineRule="auto"/>
        <w:ind w:firstLine="420"/>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 xml:space="preserve">                </w:t>
      </w:r>
      <w:r>
        <w:rPr>
          <w:rFonts w:hint="eastAsia" w:ascii="方正仿宋_GBK" w:hAnsi="方正仿宋_GBK" w:eastAsia="方正仿宋_GBK" w:cs="方正仿宋_GBK"/>
          <w:szCs w:val="21"/>
          <w:lang w:val="en-US" w:eastAsia="zh-CN"/>
        </w:rPr>
        <w:t xml:space="preserve"> </w:t>
      </w:r>
      <w:r>
        <w:rPr>
          <w:rFonts w:hint="eastAsia" w:ascii="方正仿宋_GBK" w:hAnsi="方正仿宋_GBK" w:eastAsia="方正仿宋_GBK" w:cs="方正仿宋_GBK"/>
          <w:szCs w:val="21"/>
        </w:rPr>
        <w:t xml:space="preserve">年 </w:t>
      </w:r>
      <w:r>
        <w:rPr>
          <w:rFonts w:hint="eastAsia" w:ascii="方正仿宋_GBK" w:hAnsi="方正仿宋_GBK" w:eastAsia="方正仿宋_GBK" w:cs="方正仿宋_GBK"/>
          <w:szCs w:val="21"/>
          <w:lang w:val="en-US" w:eastAsia="zh-CN"/>
        </w:rPr>
        <w:t xml:space="preserve"> </w:t>
      </w:r>
      <w:r>
        <w:rPr>
          <w:rFonts w:hint="eastAsia" w:ascii="方正仿宋_GBK" w:hAnsi="方正仿宋_GBK" w:eastAsia="方正仿宋_GBK" w:cs="方正仿宋_GBK"/>
          <w:szCs w:val="21"/>
        </w:rPr>
        <w:t xml:space="preserve"> 月  </w:t>
      </w:r>
      <w:r>
        <w:rPr>
          <w:rFonts w:hint="eastAsia" w:ascii="方正仿宋_GBK" w:hAnsi="方正仿宋_GBK" w:eastAsia="方正仿宋_GBK" w:cs="方正仿宋_GBK"/>
          <w:szCs w:val="21"/>
          <w:lang w:val="en-US" w:eastAsia="zh-CN"/>
        </w:rPr>
        <w:t xml:space="preserve"> </w:t>
      </w:r>
      <w:r>
        <w:rPr>
          <w:rFonts w:hint="eastAsia" w:ascii="方正仿宋_GBK" w:hAnsi="方正仿宋_GBK" w:eastAsia="方正仿宋_GBK" w:cs="方正仿宋_GBK"/>
          <w:szCs w:val="21"/>
        </w:rPr>
        <w:t>日</w:t>
      </w:r>
    </w:p>
    <w:p w14:paraId="452D7C94">
      <w:pPr>
        <w:rPr>
          <w:rFonts w:hint="eastAsia" w:ascii="方正仿宋_GBK" w:hAnsi="方正仿宋_GBK" w:eastAsia="方正仿宋_GBK" w:cs="方正仿宋_GBK"/>
          <w:b w:val="0"/>
          <w:bCs w:val="0"/>
          <w:color w:val="auto"/>
          <w:sz w:val="24"/>
          <w:szCs w:val="24"/>
          <w:highlight w:val="none"/>
          <w:lang w:val="en-US" w:eastAsia="zh-CN"/>
        </w:rPr>
      </w:pPr>
    </w:p>
    <w:p w14:paraId="3E9DF2EA">
      <w:pPr>
        <w:pStyle w:val="19"/>
        <w:rPr>
          <w:rFonts w:hint="eastAsia" w:ascii="方正仿宋_GBK" w:hAnsi="方正仿宋_GBK" w:eastAsia="方正仿宋_GBK" w:cs="方正仿宋_GBK"/>
          <w:b w:val="0"/>
          <w:bCs w:val="0"/>
          <w:color w:val="auto"/>
          <w:sz w:val="24"/>
          <w:szCs w:val="24"/>
          <w:highlight w:val="none"/>
          <w:lang w:val="en-US" w:eastAsia="zh-CN"/>
        </w:rPr>
      </w:pPr>
    </w:p>
    <w:p w14:paraId="20E8F0DC">
      <w:pPr>
        <w:pStyle w:val="19"/>
        <w:rPr>
          <w:rFonts w:hint="eastAsia" w:ascii="方正仿宋_GBK" w:hAnsi="方正仿宋_GBK" w:eastAsia="方正仿宋_GBK" w:cs="方正仿宋_GBK"/>
          <w:b w:val="0"/>
          <w:bCs w:val="0"/>
          <w:color w:val="auto"/>
          <w:sz w:val="24"/>
          <w:szCs w:val="24"/>
          <w:highlight w:val="none"/>
          <w:lang w:val="en-US" w:eastAsia="zh-CN"/>
        </w:rPr>
      </w:pPr>
    </w:p>
    <w:p w14:paraId="04AAABA3">
      <w:pPr>
        <w:pStyle w:val="19"/>
        <w:rPr>
          <w:rFonts w:hint="eastAsia" w:ascii="方正仿宋_GBK" w:hAnsi="方正仿宋_GBK" w:eastAsia="方正仿宋_GBK" w:cs="方正仿宋_GBK"/>
          <w:b w:val="0"/>
          <w:bCs w:val="0"/>
          <w:color w:val="auto"/>
          <w:sz w:val="24"/>
          <w:szCs w:val="24"/>
          <w:highlight w:val="none"/>
          <w:lang w:val="en-US" w:eastAsia="zh-CN"/>
        </w:rPr>
      </w:pPr>
    </w:p>
    <w:p w14:paraId="2C3D66BC">
      <w:pPr>
        <w:keepNext/>
        <w:keepLines/>
        <w:spacing w:before="100" w:beforeAutospacing="1" w:after="100" w:afterAutospacing="1"/>
        <w:jc w:val="center"/>
        <w:outlineLvl w:val="1"/>
        <w:rPr>
          <w:rFonts w:hint="eastAsia" w:ascii="方正楷体_GBK" w:hAnsi="方正楷体_GBK" w:eastAsia="方正楷体_GBK" w:cs="方正楷体_GBK"/>
          <w:b/>
          <w:sz w:val="32"/>
        </w:rPr>
      </w:pPr>
      <w:r>
        <w:rPr>
          <w:rFonts w:hint="eastAsia" w:ascii="方正楷体_GBK" w:hAnsi="方正楷体_GBK" w:eastAsia="方正楷体_GBK" w:cs="方正楷体_GBK"/>
          <w:b/>
          <w:sz w:val="32"/>
        </w:rPr>
        <w:t>报价一览表</w:t>
      </w:r>
    </w:p>
    <w:p w14:paraId="6A63B8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项目名称：某公司综合管理平台服务项目</w:t>
      </w:r>
    </w:p>
    <w:p w14:paraId="336001AB">
      <w:pPr>
        <w:pStyle w:val="3"/>
        <w:rPr>
          <w:rFonts w:hint="eastAsia" w:ascii="方正仿宋_GBK" w:hAnsi="方正仿宋_GBK" w:eastAsia="方正仿宋_GBK" w:cs="方正仿宋_GBK"/>
          <w:b w:val="0"/>
          <w:bCs w:val="0"/>
          <w:color w:val="auto"/>
          <w:sz w:val="24"/>
          <w:szCs w:val="24"/>
          <w:highlight w:val="none"/>
          <w:lang w:val="en-US" w:eastAsia="zh-CN"/>
        </w:rPr>
      </w:pPr>
    </w:p>
    <w:tbl>
      <w:tblPr>
        <w:tblStyle w:val="4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1635"/>
        <w:gridCol w:w="2216"/>
        <w:gridCol w:w="723"/>
        <w:gridCol w:w="1733"/>
        <w:gridCol w:w="894"/>
        <w:gridCol w:w="1313"/>
      </w:tblGrid>
      <w:tr w14:paraId="208E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shd w:val="clear" w:color="auto" w:fill="auto"/>
            <w:vAlign w:val="top"/>
          </w:tcPr>
          <w:p w14:paraId="5BC496FF">
            <w:pPr>
              <w:keepNext w:val="0"/>
              <w:keepLines w:val="0"/>
              <w:pageBreakBefore w:val="0"/>
              <w:widowControl w:val="0"/>
              <w:kinsoku/>
              <w:wordWrap/>
              <w:overflowPunct/>
              <w:topLinePunct w:val="0"/>
              <w:autoSpaceDE/>
              <w:autoSpaceDN/>
              <w:bidi w:val="0"/>
              <w:adjustRightInd/>
              <w:snapToGrid/>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序号</w:t>
            </w:r>
          </w:p>
        </w:tc>
        <w:tc>
          <w:tcPr>
            <w:tcW w:w="880" w:type="pct"/>
            <w:shd w:val="clear" w:color="auto" w:fill="auto"/>
            <w:vAlign w:val="top"/>
          </w:tcPr>
          <w:p w14:paraId="7FAB4777">
            <w:pPr>
              <w:keepNext w:val="0"/>
              <w:keepLines w:val="0"/>
              <w:pageBreakBefore w:val="0"/>
              <w:widowControl w:val="0"/>
              <w:kinsoku/>
              <w:wordWrap/>
              <w:overflowPunct/>
              <w:topLinePunct w:val="0"/>
              <w:autoSpaceDE/>
              <w:autoSpaceDN/>
              <w:bidi w:val="0"/>
              <w:adjustRightInd/>
              <w:snapToGrid/>
              <w:textAlignment w:val="auto"/>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项目清单</w:t>
            </w:r>
          </w:p>
        </w:tc>
        <w:tc>
          <w:tcPr>
            <w:tcW w:w="1193" w:type="pct"/>
            <w:shd w:val="clear" w:color="auto" w:fill="auto"/>
            <w:vAlign w:val="top"/>
          </w:tcPr>
          <w:p w14:paraId="328ABD47">
            <w:pPr>
              <w:keepNext w:val="0"/>
              <w:keepLines w:val="0"/>
              <w:pageBreakBefore w:val="0"/>
              <w:widowControl w:val="0"/>
              <w:kinsoku/>
              <w:wordWrap/>
              <w:overflowPunct/>
              <w:topLinePunct w:val="0"/>
              <w:autoSpaceDE/>
              <w:autoSpaceDN/>
              <w:bidi w:val="0"/>
              <w:adjustRightInd/>
              <w:snapToGrid/>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不含税合价（元）</w:t>
            </w:r>
          </w:p>
        </w:tc>
        <w:tc>
          <w:tcPr>
            <w:tcW w:w="389" w:type="pct"/>
            <w:shd w:val="clear" w:color="auto" w:fill="auto"/>
            <w:vAlign w:val="top"/>
          </w:tcPr>
          <w:p w14:paraId="1A68183D">
            <w:pPr>
              <w:keepNext w:val="0"/>
              <w:keepLines w:val="0"/>
              <w:pageBreakBefore w:val="0"/>
              <w:widowControl w:val="0"/>
              <w:kinsoku/>
              <w:wordWrap/>
              <w:overflowPunct/>
              <w:topLinePunct w:val="0"/>
              <w:autoSpaceDE/>
              <w:autoSpaceDN/>
              <w:bidi w:val="0"/>
              <w:adjustRightInd/>
              <w:snapToGrid/>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税金</w:t>
            </w:r>
          </w:p>
        </w:tc>
        <w:tc>
          <w:tcPr>
            <w:tcW w:w="933" w:type="pct"/>
            <w:shd w:val="clear" w:color="auto" w:fill="auto"/>
            <w:vAlign w:val="top"/>
          </w:tcPr>
          <w:p w14:paraId="2D8AB629">
            <w:pPr>
              <w:keepNext w:val="0"/>
              <w:keepLines w:val="0"/>
              <w:pageBreakBefore w:val="0"/>
              <w:widowControl w:val="0"/>
              <w:kinsoku/>
              <w:wordWrap/>
              <w:overflowPunct/>
              <w:topLinePunct w:val="0"/>
              <w:autoSpaceDE/>
              <w:autoSpaceDN/>
              <w:bidi w:val="0"/>
              <w:adjustRightInd/>
              <w:snapToGrid/>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含税合价（元）</w:t>
            </w:r>
          </w:p>
        </w:tc>
        <w:tc>
          <w:tcPr>
            <w:tcW w:w="481" w:type="pct"/>
            <w:shd w:val="clear" w:color="auto" w:fill="auto"/>
            <w:vAlign w:val="top"/>
          </w:tcPr>
          <w:p w14:paraId="332B615A">
            <w:pPr>
              <w:keepNext w:val="0"/>
              <w:keepLines w:val="0"/>
              <w:pageBreakBefore w:val="0"/>
              <w:widowControl w:val="0"/>
              <w:kinsoku/>
              <w:wordWrap/>
              <w:overflowPunct/>
              <w:topLinePunct w:val="0"/>
              <w:autoSpaceDE/>
              <w:autoSpaceDN/>
              <w:bidi w:val="0"/>
              <w:adjustRightInd/>
              <w:snapToGrid/>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税点</w:t>
            </w:r>
          </w:p>
        </w:tc>
        <w:tc>
          <w:tcPr>
            <w:tcW w:w="707" w:type="pct"/>
            <w:shd w:val="clear" w:color="auto" w:fill="auto"/>
            <w:vAlign w:val="top"/>
          </w:tcPr>
          <w:p w14:paraId="107EF1B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备注</w:t>
            </w:r>
          </w:p>
        </w:tc>
      </w:tr>
      <w:tr w14:paraId="1E55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tcPr>
          <w:p w14:paraId="0C9AF4AB">
            <w:pPr>
              <w:keepNext w:val="0"/>
              <w:keepLines w:val="0"/>
              <w:pageBreakBefore w:val="0"/>
              <w:widowControl w:val="0"/>
              <w:kinsoku/>
              <w:wordWrap/>
              <w:overflowPunct/>
              <w:topLinePunct w:val="0"/>
              <w:autoSpaceDE/>
              <w:autoSpaceDN/>
              <w:bidi w:val="0"/>
              <w:adjustRightInd/>
              <w:snapToGrid/>
              <w:jc w:val="center"/>
              <w:textAlignment w:val="auto"/>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1</w:t>
            </w:r>
          </w:p>
        </w:tc>
        <w:tc>
          <w:tcPr>
            <w:tcW w:w="880" w:type="pct"/>
          </w:tcPr>
          <w:p w14:paraId="414676F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1193" w:type="pct"/>
          </w:tcPr>
          <w:p w14:paraId="3E0FDB6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389" w:type="pct"/>
          </w:tcPr>
          <w:p w14:paraId="1FC0093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933" w:type="pct"/>
          </w:tcPr>
          <w:p w14:paraId="0AA36EC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481" w:type="pct"/>
          </w:tcPr>
          <w:p w14:paraId="5A112CC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707" w:type="pct"/>
          </w:tcPr>
          <w:p w14:paraId="7C4A470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r>
      <w:tr w14:paraId="1748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tcPr>
          <w:p w14:paraId="0370D97F">
            <w:pPr>
              <w:keepNext w:val="0"/>
              <w:keepLines w:val="0"/>
              <w:pageBreakBefore w:val="0"/>
              <w:widowControl w:val="0"/>
              <w:kinsoku/>
              <w:wordWrap/>
              <w:overflowPunct/>
              <w:topLinePunct w:val="0"/>
              <w:autoSpaceDE/>
              <w:autoSpaceDN/>
              <w:bidi w:val="0"/>
              <w:adjustRightInd/>
              <w:snapToGrid/>
              <w:jc w:val="center"/>
              <w:textAlignment w:val="auto"/>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w:t>
            </w:r>
          </w:p>
        </w:tc>
        <w:tc>
          <w:tcPr>
            <w:tcW w:w="880" w:type="pct"/>
          </w:tcPr>
          <w:p w14:paraId="0E10430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1193" w:type="pct"/>
          </w:tcPr>
          <w:p w14:paraId="1E677E6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389" w:type="pct"/>
          </w:tcPr>
          <w:p w14:paraId="49A85D8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933" w:type="pct"/>
          </w:tcPr>
          <w:p w14:paraId="0850488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481" w:type="pct"/>
          </w:tcPr>
          <w:p w14:paraId="1AA2B0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707" w:type="pct"/>
          </w:tcPr>
          <w:p w14:paraId="63751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r>
      <w:tr w14:paraId="67D6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tcPr>
          <w:p w14:paraId="5F1ECBEE">
            <w:pPr>
              <w:keepNext w:val="0"/>
              <w:keepLines w:val="0"/>
              <w:pageBreakBefore w:val="0"/>
              <w:widowControl w:val="0"/>
              <w:kinsoku/>
              <w:wordWrap/>
              <w:overflowPunct/>
              <w:topLinePunct w:val="0"/>
              <w:autoSpaceDE/>
              <w:autoSpaceDN/>
              <w:bidi w:val="0"/>
              <w:adjustRightInd/>
              <w:snapToGrid/>
              <w:jc w:val="center"/>
              <w:textAlignment w:val="auto"/>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3</w:t>
            </w:r>
          </w:p>
        </w:tc>
        <w:tc>
          <w:tcPr>
            <w:tcW w:w="880" w:type="pct"/>
          </w:tcPr>
          <w:p w14:paraId="09AC13B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1193" w:type="pct"/>
          </w:tcPr>
          <w:p w14:paraId="49E34A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389" w:type="pct"/>
          </w:tcPr>
          <w:p w14:paraId="5333BA6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933" w:type="pct"/>
          </w:tcPr>
          <w:p w14:paraId="7055ED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481" w:type="pct"/>
          </w:tcPr>
          <w:p w14:paraId="4CAB6EC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707" w:type="pct"/>
          </w:tcPr>
          <w:p w14:paraId="7BDD6DD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r>
      <w:tr w14:paraId="6B5D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tcPr>
          <w:p w14:paraId="43048EF8">
            <w:pPr>
              <w:keepNext w:val="0"/>
              <w:keepLines w:val="0"/>
              <w:pageBreakBefore w:val="0"/>
              <w:widowControl w:val="0"/>
              <w:kinsoku/>
              <w:wordWrap/>
              <w:overflowPunct/>
              <w:topLinePunct w:val="0"/>
              <w:autoSpaceDE/>
              <w:autoSpaceDN/>
              <w:bidi w:val="0"/>
              <w:adjustRightInd/>
              <w:snapToGrid/>
              <w:jc w:val="center"/>
              <w:textAlignment w:val="auto"/>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4</w:t>
            </w:r>
          </w:p>
        </w:tc>
        <w:tc>
          <w:tcPr>
            <w:tcW w:w="880" w:type="pct"/>
          </w:tcPr>
          <w:p w14:paraId="6AA48B7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1193" w:type="pct"/>
          </w:tcPr>
          <w:p w14:paraId="4892CD7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389" w:type="pct"/>
          </w:tcPr>
          <w:p w14:paraId="20561A4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933" w:type="pct"/>
          </w:tcPr>
          <w:p w14:paraId="79A9E1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481" w:type="pct"/>
          </w:tcPr>
          <w:p w14:paraId="18C6CB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707" w:type="pct"/>
          </w:tcPr>
          <w:p w14:paraId="575CEB5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r>
      <w:tr w14:paraId="7839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tcPr>
          <w:p w14:paraId="31BE00EF">
            <w:pPr>
              <w:keepNext w:val="0"/>
              <w:keepLines w:val="0"/>
              <w:pageBreakBefore w:val="0"/>
              <w:widowControl w:val="0"/>
              <w:kinsoku/>
              <w:wordWrap/>
              <w:overflowPunct/>
              <w:topLinePunct w:val="0"/>
              <w:autoSpaceDE/>
              <w:autoSpaceDN/>
              <w:bidi w:val="0"/>
              <w:adjustRightInd/>
              <w:snapToGrid/>
              <w:jc w:val="center"/>
              <w:textAlignment w:val="auto"/>
              <w:rPr>
                <w:rFonts w:hint="default"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5</w:t>
            </w:r>
          </w:p>
        </w:tc>
        <w:tc>
          <w:tcPr>
            <w:tcW w:w="880" w:type="pct"/>
          </w:tcPr>
          <w:p w14:paraId="2AF4EB8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1193" w:type="pct"/>
          </w:tcPr>
          <w:p w14:paraId="7765B56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389" w:type="pct"/>
          </w:tcPr>
          <w:p w14:paraId="59DA166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933" w:type="pct"/>
          </w:tcPr>
          <w:p w14:paraId="1983E4E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481" w:type="pct"/>
          </w:tcPr>
          <w:p w14:paraId="4AA3B0B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c>
          <w:tcPr>
            <w:tcW w:w="707" w:type="pct"/>
          </w:tcPr>
          <w:p w14:paraId="37BB293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p>
        </w:tc>
      </w:tr>
      <w:tr w14:paraId="1697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tcPr>
          <w:p w14:paraId="7C10D0E3">
            <w:pPr>
              <w:jc w:val="center"/>
              <w:rPr>
                <w:rFonts w:hint="default"/>
                <w:vertAlign w:val="baseline"/>
                <w:lang w:val="en-US" w:eastAsia="zh-CN"/>
              </w:rPr>
            </w:pPr>
            <w:r>
              <w:rPr>
                <w:rFonts w:hint="eastAsia"/>
                <w:vertAlign w:val="baseline"/>
                <w:lang w:val="en-US" w:eastAsia="zh-CN"/>
              </w:rPr>
              <w:t>6</w:t>
            </w:r>
          </w:p>
        </w:tc>
        <w:tc>
          <w:tcPr>
            <w:tcW w:w="880" w:type="pct"/>
          </w:tcPr>
          <w:p w14:paraId="6898FBC1">
            <w:pPr>
              <w:rPr>
                <w:rFonts w:hint="eastAsia"/>
                <w:vertAlign w:val="baseline"/>
                <w:lang w:val="en-US" w:eastAsia="zh-CN"/>
              </w:rPr>
            </w:pPr>
          </w:p>
        </w:tc>
        <w:tc>
          <w:tcPr>
            <w:tcW w:w="1193" w:type="pct"/>
          </w:tcPr>
          <w:p w14:paraId="73A404AE">
            <w:pPr>
              <w:rPr>
                <w:rFonts w:hint="eastAsia"/>
                <w:vertAlign w:val="baseline"/>
                <w:lang w:val="en-US" w:eastAsia="zh-CN"/>
              </w:rPr>
            </w:pPr>
          </w:p>
        </w:tc>
        <w:tc>
          <w:tcPr>
            <w:tcW w:w="389" w:type="pct"/>
          </w:tcPr>
          <w:p w14:paraId="2AC2335D">
            <w:pPr>
              <w:rPr>
                <w:rFonts w:hint="eastAsia"/>
                <w:vertAlign w:val="baseline"/>
                <w:lang w:val="en-US" w:eastAsia="zh-CN"/>
              </w:rPr>
            </w:pPr>
          </w:p>
        </w:tc>
        <w:tc>
          <w:tcPr>
            <w:tcW w:w="933" w:type="pct"/>
          </w:tcPr>
          <w:p w14:paraId="3142E98F">
            <w:pPr>
              <w:rPr>
                <w:rFonts w:hint="eastAsia"/>
                <w:vertAlign w:val="baseline"/>
                <w:lang w:val="en-US" w:eastAsia="zh-CN"/>
              </w:rPr>
            </w:pPr>
          </w:p>
        </w:tc>
        <w:tc>
          <w:tcPr>
            <w:tcW w:w="481" w:type="pct"/>
          </w:tcPr>
          <w:p w14:paraId="18F21CE2">
            <w:pPr>
              <w:rPr>
                <w:rFonts w:hint="eastAsia"/>
                <w:vertAlign w:val="baseline"/>
                <w:lang w:val="en-US" w:eastAsia="zh-CN"/>
              </w:rPr>
            </w:pPr>
          </w:p>
        </w:tc>
        <w:tc>
          <w:tcPr>
            <w:tcW w:w="707" w:type="pct"/>
          </w:tcPr>
          <w:p w14:paraId="6DB938FF">
            <w:pPr>
              <w:rPr>
                <w:rFonts w:hint="eastAsia"/>
                <w:vertAlign w:val="baseline"/>
                <w:lang w:val="en-US" w:eastAsia="zh-CN"/>
              </w:rPr>
            </w:pPr>
          </w:p>
        </w:tc>
      </w:tr>
      <w:tr w14:paraId="6CC4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tcPr>
          <w:p w14:paraId="42CB327C">
            <w:pPr>
              <w:jc w:val="center"/>
              <w:rPr>
                <w:rFonts w:hint="default"/>
                <w:vertAlign w:val="baseline"/>
                <w:lang w:val="en-US" w:eastAsia="zh-CN"/>
              </w:rPr>
            </w:pPr>
            <w:r>
              <w:rPr>
                <w:rFonts w:hint="eastAsia"/>
                <w:vertAlign w:val="baseline"/>
                <w:lang w:val="en-US" w:eastAsia="zh-CN"/>
              </w:rPr>
              <w:t>..........</w:t>
            </w:r>
          </w:p>
        </w:tc>
        <w:tc>
          <w:tcPr>
            <w:tcW w:w="880" w:type="pct"/>
          </w:tcPr>
          <w:p w14:paraId="2771BB13">
            <w:pPr>
              <w:rPr>
                <w:rFonts w:hint="eastAsia"/>
                <w:vertAlign w:val="baseline"/>
                <w:lang w:val="en-US" w:eastAsia="zh-CN"/>
              </w:rPr>
            </w:pPr>
          </w:p>
        </w:tc>
        <w:tc>
          <w:tcPr>
            <w:tcW w:w="1193" w:type="pct"/>
          </w:tcPr>
          <w:p w14:paraId="5DA53828">
            <w:pPr>
              <w:rPr>
                <w:rFonts w:hint="eastAsia"/>
                <w:vertAlign w:val="baseline"/>
                <w:lang w:val="en-US" w:eastAsia="zh-CN"/>
              </w:rPr>
            </w:pPr>
          </w:p>
        </w:tc>
        <w:tc>
          <w:tcPr>
            <w:tcW w:w="389" w:type="pct"/>
          </w:tcPr>
          <w:p w14:paraId="7998A83D">
            <w:pPr>
              <w:rPr>
                <w:rFonts w:hint="eastAsia"/>
                <w:vertAlign w:val="baseline"/>
                <w:lang w:val="en-US" w:eastAsia="zh-CN"/>
              </w:rPr>
            </w:pPr>
          </w:p>
        </w:tc>
        <w:tc>
          <w:tcPr>
            <w:tcW w:w="933" w:type="pct"/>
          </w:tcPr>
          <w:p w14:paraId="50FB07E7">
            <w:pPr>
              <w:rPr>
                <w:rFonts w:hint="eastAsia"/>
                <w:vertAlign w:val="baseline"/>
                <w:lang w:val="en-US" w:eastAsia="zh-CN"/>
              </w:rPr>
            </w:pPr>
          </w:p>
        </w:tc>
        <w:tc>
          <w:tcPr>
            <w:tcW w:w="481" w:type="pct"/>
          </w:tcPr>
          <w:p w14:paraId="43918057">
            <w:pPr>
              <w:rPr>
                <w:rFonts w:hint="eastAsia"/>
                <w:vertAlign w:val="baseline"/>
                <w:lang w:val="en-US" w:eastAsia="zh-CN"/>
              </w:rPr>
            </w:pPr>
          </w:p>
        </w:tc>
        <w:tc>
          <w:tcPr>
            <w:tcW w:w="707" w:type="pct"/>
          </w:tcPr>
          <w:p w14:paraId="2E7C9B76">
            <w:pPr>
              <w:rPr>
                <w:rFonts w:hint="eastAsia"/>
                <w:vertAlign w:val="baseline"/>
                <w:lang w:val="en-US" w:eastAsia="zh-CN"/>
              </w:rPr>
            </w:pPr>
          </w:p>
        </w:tc>
      </w:tr>
    </w:tbl>
    <w:p w14:paraId="7F8F110B"/>
    <w:p w14:paraId="04920C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注：1、所有报价均以人民币计价，须涵盖平台软件开发实施、盘点服务、培训、接口对接、1年免费运维及税费等全部相关费用。</w:t>
      </w:r>
    </w:p>
    <w:p w14:paraId="08457F3C">
      <w:pPr>
        <w:keepNext w:val="0"/>
        <w:keepLines w:val="0"/>
        <w:pageBreakBefore w:val="0"/>
        <w:widowControl w:val="0"/>
        <w:kinsoku/>
        <w:wordWrap/>
        <w:overflowPunct/>
        <w:topLinePunct w:val="0"/>
        <w:autoSpaceDE/>
        <w:autoSpaceDN/>
        <w:bidi w:val="0"/>
        <w:adjustRightInd/>
        <w:snapToGrid/>
        <w:ind w:firstLine="960" w:firstLineChars="4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2、参数存在偏差必须另附技术说明，未列明偏差视为完全响应采购文件。</w:t>
      </w:r>
    </w:p>
    <w:p w14:paraId="7060409B">
      <w:pPr>
        <w:keepNext w:val="0"/>
        <w:keepLines w:val="0"/>
        <w:pageBreakBefore w:val="0"/>
        <w:widowControl w:val="0"/>
        <w:kinsoku/>
        <w:wordWrap/>
        <w:overflowPunct/>
        <w:topLinePunct w:val="0"/>
        <w:autoSpaceDE/>
        <w:autoSpaceDN/>
        <w:bidi w:val="0"/>
        <w:adjustRightInd/>
        <w:snapToGrid/>
        <w:ind w:firstLine="960" w:firstLineChars="4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3、如因供应商填写有误，导致无法开启报价，责任由供应商自行承担。</w:t>
      </w:r>
    </w:p>
    <w:p w14:paraId="78D351A7">
      <w:pPr>
        <w:pStyle w:val="3"/>
        <w:rPr>
          <w:rFonts w:hint="eastAsia" w:ascii="方正仿宋_GBK" w:hAnsi="方正仿宋_GBK" w:eastAsia="方正仿宋_GBK" w:cs="方正仿宋_GBK"/>
          <w:b w:val="0"/>
          <w:bCs w:val="0"/>
          <w:color w:val="auto"/>
          <w:sz w:val="24"/>
          <w:szCs w:val="24"/>
          <w:highlight w:val="none"/>
          <w:lang w:val="en-US" w:eastAsia="zh-CN"/>
        </w:rPr>
      </w:pPr>
    </w:p>
    <w:p w14:paraId="346DCF43">
      <w:pPr>
        <w:rPr>
          <w:rFonts w:hint="eastAsia"/>
          <w:lang w:val="en-US" w:eastAsia="zh-CN"/>
        </w:rPr>
      </w:pPr>
    </w:p>
    <w:p w14:paraId="04E0C0EE">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供应商公章：</w:t>
      </w:r>
    </w:p>
    <w:p w14:paraId="46120BC7">
      <w:pPr>
        <w:keepNext w:val="0"/>
        <w:keepLines w:val="0"/>
        <w:pageBreakBefore w:val="0"/>
        <w:widowControl w:val="0"/>
        <w:kinsoku/>
        <w:wordWrap/>
        <w:overflowPunct/>
        <w:topLinePunct w:val="0"/>
        <w:autoSpaceDE/>
        <w:autoSpaceDN/>
        <w:bidi w:val="0"/>
        <w:adjustRightInd/>
        <w:snapToGrid/>
        <w:ind w:firstLine="480" w:firstLineChars="200"/>
        <w:jc w:val="right"/>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法定代表人或授权代表（签字或盖章）：</w:t>
      </w:r>
    </w:p>
    <w:p w14:paraId="3AA03251">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日期：</w:t>
      </w:r>
    </w:p>
    <w:p w14:paraId="624B316E">
      <w:pPr>
        <w:keepNext/>
        <w:keepLines/>
        <w:spacing w:before="100" w:beforeAutospacing="1" w:after="100" w:afterAutospacing="1"/>
        <w:jc w:val="center"/>
        <w:outlineLvl w:val="1"/>
        <w:rPr>
          <w:sz w:val="32"/>
          <w:szCs w:val="32"/>
        </w:rPr>
      </w:pPr>
      <w:r>
        <w:rPr>
          <w:rFonts w:hint="eastAsia"/>
          <w:b/>
          <w:sz w:val="32"/>
        </w:rPr>
        <w:t>技术参数响应</w:t>
      </w:r>
      <w:r>
        <w:rPr>
          <w:rFonts w:hint="eastAsia"/>
          <w:b/>
          <w:sz w:val="32"/>
          <w:lang w:val="en-US" w:eastAsia="zh-CN"/>
        </w:rPr>
        <w:t>及</w:t>
      </w:r>
      <w:r>
        <w:rPr>
          <w:rFonts w:hint="eastAsia"/>
          <w:b/>
          <w:sz w:val="32"/>
        </w:rPr>
        <w:t>偏</w:t>
      </w:r>
      <w:r>
        <w:rPr>
          <w:rFonts w:hint="eastAsia"/>
          <w:b/>
          <w:sz w:val="32"/>
          <w:lang w:val="en-US" w:eastAsia="zh-CN"/>
        </w:rPr>
        <w:t>离</w:t>
      </w:r>
      <w:r>
        <w:rPr>
          <w:rFonts w:hint="eastAsia"/>
          <w:b/>
          <w:sz w:val="32"/>
        </w:rPr>
        <w:t>表</w:t>
      </w:r>
    </w:p>
    <w:p w14:paraId="5C5D8481">
      <w:pPr>
        <w:keepNext w:val="0"/>
        <w:keepLines w:val="0"/>
        <w:pageBreakBefore w:val="0"/>
        <w:widowControl w:val="0"/>
        <w:kinsoku/>
        <w:wordWrap/>
        <w:overflowPunct/>
        <w:topLinePunct w:val="0"/>
        <w:autoSpaceDE/>
        <w:autoSpaceDN/>
        <w:bidi w:val="0"/>
        <w:adjustRightInd/>
        <w:snapToGrid/>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项目名称：某公司综合管理平台服务项目</w:t>
      </w:r>
    </w:p>
    <w:p w14:paraId="7F8F110A"/>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0"/>
        <w:gridCol w:w="2250"/>
        <w:gridCol w:w="2250"/>
        <w:gridCol w:w="2250"/>
      </w:tblGrid>
      <w:tr w14:paraId="754C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34A0CD1A">
            <w:pPr>
              <w:jc w:val="center"/>
              <w:rPr>
                <w:rFonts w:hint="eastAsia" w:ascii="方正仿宋_GBK" w:hAnsi="方正仿宋_GBK" w:eastAsia="方正仿宋_GBK" w:cs="方正仿宋_GBK"/>
              </w:rPr>
            </w:pPr>
            <w:r>
              <w:rPr>
                <w:rFonts w:hint="eastAsia" w:ascii="方正仿宋_GBK" w:hAnsi="方正仿宋_GBK" w:eastAsia="方正仿宋_GBK" w:cs="方正仿宋_GBK"/>
              </w:rPr>
              <w:t>序号</w:t>
            </w:r>
          </w:p>
        </w:tc>
        <w:tc>
          <w:tcPr>
            <w:tcW w:w="2250" w:type="dxa"/>
          </w:tcPr>
          <w:p w14:paraId="6687D87D">
            <w:pPr>
              <w:jc w:val="center"/>
              <w:rPr>
                <w:rFonts w:hint="eastAsia" w:ascii="方正仿宋_GBK" w:hAnsi="方正仿宋_GBK" w:eastAsia="方正仿宋_GBK" w:cs="方正仿宋_GBK"/>
              </w:rPr>
            </w:pPr>
            <w:r>
              <w:rPr>
                <w:rFonts w:hint="eastAsia" w:ascii="方正仿宋_GBK" w:hAnsi="方正仿宋_GBK" w:eastAsia="方正仿宋_GBK" w:cs="方正仿宋_GBK"/>
              </w:rPr>
              <w:t>采购文件技术要求</w:t>
            </w:r>
          </w:p>
        </w:tc>
        <w:tc>
          <w:tcPr>
            <w:tcW w:w="2250" w:type="dxa"/>
          </w:tcPr>
          <w:p w14:paraId="17475FE2">
            <w:pPr>
              <w:jc w:val="center"/>
              <w:rPr>
                <w:rFonts w:hint="eastAsia" w:ascii="方正仿宋_GBK" w:hAnsi="方正仿宋_GBK" w:eastAsia="方正仿宋_GBK" w:cs="方正仿宋_GBK"/>
              </w:rPr>
            </w:pPr>
            <w:r>
              <w:rPr>
                <w:rFonts w:hint="eastAsia" w:ascii="方正仿宋_GBK" w:hAnsi="方正仿宋_GBK" w:eastAsia="方正仿宋_GBK" w:cs="方正仿宋_GBK"/>
              </w:rPr>
              <w:t>响应技术要求</w:t>
            </w:r>
          </w:p>
        </w:tc>
        <w:tc>
          <w:tcPr>
            <w:tcW w:w="2250" w:type="dxa"/>
          </w:tcPr>
          <w:p w14:paraId="2BCD3754">
            <w:pPr>
              <w:jc w:val="center"/>
              <w:rPr>
                <w:rFonts w:hint="eastAsia" w:ascii="方正仿宋_GBK" w:hAnsi="方正仿宋_GBK" w:eastAsia="方正仿宋_GBK" w:cs="方正仿宋_GBK"/>
              </w:rPr>
            </w:pPr>
            <w:r>
              <w:rPr>
                <w:rFonts w:hint="eastAsia" w:ascii="方正仿宋_GBK" w:hAnsi="方正仿宋_GBK" w:eastAsia="方正仿宋_GBK" w:cs="方正仿宋_GBK"/>
              </w:rPr>
              <w:t>偏离／响应</w:t>
            </w:r>
          </w:p>
        </w:tc>
      </w:tr>
      <w:tr w14:paraId="6D29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20E9A752">
            <w:pPr>
              <w:jc w:val="center"/>
              <w:rPr>
                <w:rFonts w:hint="eastAsia" w:ascii="方正仿宋_GBK" w:hAnsi="方正仿宋_GBK" w:eastAsia="方正仿宋_GBK" w:cs="方正仿宋_GBK"/>
              </w:rPr>
            </w:pPr>
            <w:r>
              <w:rPr>
                <w:rFonts w:hint="eastAsia" w:ascii="方正仿宋_GBK" w:hAnsi="方正仿宋_GBK" w:eastAsia="方正仿宋_GBK" w:cs="方正仿宋_GBK"/>
              </w:rPr>
              <w:t>1</w:t>
            </w:r>
          </w:p>
        </w:tc>
        <w:tc>
          <w:tcPr>
            <w:tcW w:w="2250" w:type="dxa"/>
          </w:tcPr>
          <w:p w14:paraId="1C7DA6BB">
            <w:pPr>
              <w:rPr>
                <w:rFonts w:hint="eastAsia" w:ascii="方正仿宋_GBK" w:hAnsi="方正仿宋_GBK" w:eastAsia="方正仿宋_GBK" w:cs="方正仿宋_GBK"/>
              </w:rPr>
            </w:pPr>
          </w:p>
        </w:tc>
        <w:tc>
          <w:tcPr>
            <w:tcW w:w="2250" w:type="dxa"/>
          </w:tcPr>
          <w:p w14:paraId="598DF0D8">
            <w:pPr>
              <w:rPr>
                <w:rFonts w:hint="eastAsia" w:ascii="方正仿宋_GBK" w:hAnsi="方正仿宋_GBK" w:eastAsia="方正仿宋_GBK" w:cs="方正仿宋_GBK"/>
              </w:rPr>
            </w:pPr>
          </w:p>
        </w:tc>
        <w:tc>
          <w:tcPr>
            <w:tcW w:w="2250" w:type="dxa"/>
          </w:tcPr>
          <w:p w14:paraId="1561C8FC">
            <w:pPr>
              <w:rPr>
                <w:rFonts w:hint="eastAsia" w:ascii="方正仿宋_GBK" w:hAnsi="方正仿宋_GBK" w:eastAsia="方正仿宋_GBK" w:cs="方正仿宋_GBK"/>
              </w:rPr>
            </w:pPr>
          </w:p>
        </w:tc>
      </w:tr>
      <w:tr w14:paraId="33D6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12BD563E">
            <w:pPr>
              <w:jc w:val="center"/>
              <w:rPr>
                <w:rFonts w:hint="eastAsia" w:ascii="方正仿宋_GBK" w:hAnsi="方正仿宋_GBK" w:eastAsia="方正仿宋_GBK" w:cs="方正仿宋_GBK"/>
              </w:rPr>
            </w:pPr>
            <w:r>
              <w:rPr>
                <w:rFonts w:hint="eastAsia" w:ascii="方正仿宋_GBK" w:hAnsi="方正仿宋_GBK" w:eastAsia="方正仿宋_GBK" w:cs="方正仿宋_GBK"/>
              </w:rPr>
              <w:t>2</w:t>
            </w:r>
          </w:p>
        </w:tc>
        <w:tc>
          <w:tcPr>
            <w:tcW w:w="2250" w:type="dxa"/>
          </w:tcPr>
          <w:p w14:paraId="4E29355F">
            <w:pPr>
              <w:rPr>
                <w:rFonts w:hint="eastAsia" w:ascii="方正仿宋_GBK" w:hAnsi="方正仿宋_GBK" w:eastAsia="方正仿宋_GBK" w:cs="方正仿宋_GBK"/>
              </w:rPr>
            </w:pPr>
          </w:p>
        </w:tc>
        <w:tc>
          <w:tcPr>
            <w:tcW w:w="2250" w:type="dxa"/>
          </w:tcPr>
          <w:p w14:paraId="0B9AE478">
            <w:pPr>
              <w:rPr>
                <w:rFonts w:hint="eastAsia" w:ascii="方正仿宋_GBK" w:hAnsi="方正仿宋_GBK" w:eastAsia="方正仿宋_GBK" w:cs="方正仿宋_GBK"/>
              </w:rPr>
            </w:pPr>
          </w:p>
        </w:tc>
        <w:tc>
          <w:tcPr>
            <w:tcW w:w="2250" w:type="dxa"/>
          </w:tcPr>
          <w:p w14:paraId="470CA55D">
            <w:pPr>
              <w:rPr>
                <w:rFonts w:hint="eastAsia" w:ascii="方正仿宋_GBK" w:hAnsi="方正仿宋_GBK" w:eastAsia="方正仿宋_GBK" w:cs="方正仿宋_GBK"/>
              </w:rPr>
            </w:pPr>
          </w:p>
        </w:tc>
      </w:tr>
      <w:tr w14:paraId="1AB3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7C6079D3">
            <w:pPr>
              <w:jc w:val="center"/>
              <w:rPr>
                <w:rFonts w:hint="eastAsia" w:ascii="方正仿宋_GBK" w:hAnsi="方正仿宋_GBK" w:eastAsia="方正仿宋_GBK" w:cs="方正仿宋_GBK"/>
              </w:rPr>
            </w:pPr>
            <w:r>
              <w:rPr>
                <w:rFonts w:hint="eastAsia" w:ascii="方正仿宋_GBK" w:hAnsi="方正仿宋_GBK" w:eastAsia="方正仿宋_GBK" w:cs="方正仿宋_GBK"/>
              </w:rPr>
              <w:t>3</w:t>
            </w:r>
          </w:p>
        </w:tc>
        <w:tc>
          <w:tcPr>
            <w:tcW w:w="2250" w:type="dxa"/>
          </w:tcPr>
          <w:p w14:paraId="39D381F4">
            <w:pPr>
              <w:rPr>
                <w:rFonts w:hint="eastAsia" w:ascii="方正仿宋_GBK" w:hAnsi="方正仿宋_GBK" w:eastAsia="方正仿宋_GBK" w:cs="方正仿宋_GBK"/>
              </w:rPr>
            </w:pPr>
          </w:p>
        </w:tc>
        <w:tc>
          <w:tcPr>
            <w:tcW w:w="2250" w:type="dxa"/>
          </w:tcPr>
          <w:p w14:paraId="754BD9D9">
            <w:pPr>
              <w:rPr>
                <w:rFonts w:hint="eastAsia" w:ascii="方正仿宋_GBK" w:hAnsi="方正仿宋_GBK" w:eastAsia="方正仿宋_GBK" w:cs="方正仿宋_GBK"/>
              </w:rPr>
            </w:pPr>
          </w:p>
        </w:tc>
        <w:tc>
          <w:tcPr>
            <w:tcW w:w="2250" w:type="dxa"/>
          </w:tcPr>
          <w:p w14:paraId="313B1226">
            <w:pPr>
              <w:rPr>
                <w:rFonts w:hint="eastAsia" w:ascii="方正仿宋_GBK" w:hAnsi="方正仿宋_GBK" w:eastAsia="方正仿宋_GBK" w:cs="方正仿宋_GBK"/>
              </w:rPr>
            </w:pPr>
          </w:p>
        </w:tc>
      </w:tr>
      <w:tr w14:paraId="7CB2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09DB4966">
            <w:pPr>
              <w:jc w:val="center"/>
              <w:rPr>
                <w:rFonts w:hint="eastAsia" w:ascii="方正仿宋_GBK" w:hAnsi="方正仿宋_GBK" w:eastAsia="方正仿宋_GBK" w:cs="方正仿宋_GBK"/>
              </w:rPr>
            </w:pPr>
            <w:r>
              <w:rPr>
                <w:rFonts w:hint="eastAsia" w:ascii="方正仿宋_GBK" w:hAnsi="方正仿宋_GBK" w:eastAsia="方正仿宋_GBK" w:cs="方正仿宋_GBK"/>
              </w:rPr>
              <w:t>……</w:t>
            </w:r>
          </w:p>
        </w:tc>
        <w:tc>
          <w:tcPr>
            <w:tcW w:w="2250" w:type="dxa"/>
          </w:tcPr>
          <w:p w14:paraId="45AB32A5">
            <w:pPr>
              <w:rPr>
                <w:rFonts w:hint="eastAsia" w:ascii="方正仿宋_GBK" w:hAnsi="方正仿宋_GBK" w:eastAsia="方正仿宋_GBK" w:cs="方正仿宋_GBK"/>
              </w:rPr>
            </w:pPr>
          </w:p>
        </w:tc>
        <w:tc>
          <w:tcPr>
            <w:tcW w:w="2250" w:type="dxa"/>
          </w:tcPr>
          <w:p w14:paraId="013AEAB8">
            <w:pPr>
              <w:rPr>
                <w:rFonts w:hint="eastAsia" w:ascii="方正仿宋_GBK" w:hAnsi="方正仿宋_GBK" w:eastAsia="方正仿宋_GBK" w:cs="方正仿宋_GBK"/>
              </w:rPr>
            </w:pPr>
          </w:p>
        </w:tc>
        <w:tc>
          <w:tcPr>
            <w:tcW w:w="2250" w:type="dxa"/>
          </w:tcPr>
          <w:p w14:paraId="428CDC9B">
            <w:pPr>
              <w:rPr>
                <w:rFonts w:hint="eastAsia" w:ascii="方正仿宋_GBK" w:hAnsi="方正仿宋_GBK" w:eastAsia="方正仿宋_GBK" w:cs="方正仿宋_GBK"/>
              </w:rPr>
            </w:pPr>
          </w:p>
        </w:tc>
      </w:tr>
    </w:tbl>
    <w:p w14:paraId="5144DD7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凡未在本表中列明或声明的，将被认为完全响应采购文件的规定。</w:t>
      </w:r>
    </w:p>
    <w:p w14:paraId="65DDC5CB">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供应商公章：</w:t>
      </w:r>
    </w:p>
    <w:p w14:paraId="27B38EEC">
      <w:pPr>
        <w:keepNext w:val="0"/>
        <w:keepLines w:val="0"/>
        <w:pageBreakBefore w:val="0"/>
        <w:widowControl w:val="0"/>
        <w:kinsoku/>
        <w:wordWrap/>
        <w:overflowPunct/>
        <w:topLinePunct w:val="0"/>
        <w:autoSpaceDE/>
        <w:autoSpaceDN/>
        <w:bidi w:val="0"/>
        <w:adjustRightInd/>
        <w:snapToGrid/>
        <w:ind w:firstLine="480" w:firstLineChars="200"/>
        <w:jc w:val="right"/>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法定代表人或授权代表（签字或盖章）：</w:t>
      </w:r>
    </w:p>
    <w:p w14:paraId="5D2B0CAE">
      <w:pPr>
        <w:keepNext w:val="0"/>
        <w:keepLines w:val="0"/>
        <w:pageBreakBefore w:val="0"/>
        <w:widowControl w:val="0"/>
        <w:kinsoku/>
        <w:wordWrap/>
        <w:overflowPunct/>
        <w:topLinePunct w:val="0"/>
        <w:autoSpaceDE/>
        <w:autoSpaceDN/>
        <w:bidi w:val="0"/>
        <w:adjustRightInd/>
        <w:snapToGrid/>
        <w:ind w:firstLine="480" w:firstLineChars="200"/>
        <w:jc w:val="center"/>
        <w:textAlignment w:val="auto"/>
        <w:rPr>
          <w:rFonts w:hint="eastAsia" w:ascii="方正仿宋_GBK" w:hAnsi="方正仿宋_GBK" w:eastAsia="方正仿宋_GBK" w:cs="方正仿宋_GBK"/>
          <w:b w:val="0"/>
          <w:bCs w:val="0"/>
          <w:color w:val="auto"/>
          <w:sz w:val="24"/>
          <w:szCs w:val="24"/>
          <w:highlight w:val="none"/>
          <w:lang w:val="en-US" w:eastAsia="zh-CN"/>
        </w:rPr>
      </w:pPr>
      <w:r>
        <w:rPr>
          <w:rFonts w:hint="eastAsia" w:ascii="方正仿宋_GBK" w:hAnsi="方正仿宋_GBK" w:eastAsia="方正仿宋_GBK" w:cs="方正仿宋_GBK"/>
          <w:b w:val="0"/>
          <w:bCs w:val="0"/>
          <w:color w:val="auto"/>
          <w:sz w:val="24"/>
          <w:szCs w:val="24"/>
          <w:highlight w:val="none"/>
          <w:lang w:val="en-US" w:eastAsia="zh-CN"/>
        </w:rPr>
        <w:t xml:space="preserve">     日期：</w:t>
      </w:r>
    </w:p>
    <w:p w14:paraId="07C21B3B">
      <w:pPr>
        <w:pStyle w:val="3"/>
        <w:rPr>
          <w:rFonts w:hint="eastAsia" w:ascii="方正仿宋_GBK" w:hAnsi="方正仿宋_GBK" w:eastAsia="方正仿宋_GBK" w:cs="方正仿宋_GBK"/>
          <w:b w:val="0"/>
          <w:bCs w:val="0"/>
          <w:color w:val="auto"/>
          <w:sz w:val="24"/>
          <w:szCs w:val="24"/>
          <w:highlight w:val="none"/>
          <w:lang w:val="en-US" w:eastAsia="zh-CN"/>
        </w:rPr>
      </w:pPr>
    </w:p>
    <w:p w14:paraId="58804820">
      <w:pPr>
        <w:rPr>
          <w:rFonts w:hint="eastAsia" w:ascii="方正仿宋_GBK" w:hAnsi="方正仿宋_GBK" w:eastAsia="方正仿宋_GBK" w:cs="方正仿宋_GBK"/>
          <w:b w:val="0"/>
          <w:bCs w:val="0"/>
          <w:color w:val="auto"/>
          <w:sz w:val="24"/>
          <w:szCs w:val="24"/>
          <w:highlight w:val="none"/>
          <w:lang w:val="en-US" w:eastAsia="zh-CN"/>
        </w:rPr>
      </w:pPr>
    </w:p>
    <w:p w14:paraId="64B253D5">
      <w:pPr>
        <w:pStyle w:val="3"/>
        <w:rPr>
          <w:rFonts w:hint="eastAsia" w:ascii="方正仿宋_GBK" w:hAnsi="方正仿宋_GBK" w:eastAsia="方正仿宋_GBK" w:cs="方正仿宋_GBK"/>
          <w:b w:val="0"/>
          <w:bCs w:val="0"/>
          <w:color w:val="auto"/>
          <w:sz w:val="24"/>
          <w:szCs w:val="24"/>
          <w:highlight w:val="none"/>
          <w:lang w:val="en-US" w:eastAsia="zh-CN"/>
        </w:rPr>
      </w:pPr>
    </w:p>
    <w:p w14:paraId="44B6DA77">
      <w:pPr>
        <w:rPr>
          <w:rFonts w:hint="eastAsia" w:ascii="方正仿宋_GBK" w:hAnsi="方正仿宋_GBK" w:eastAsia="方正仿宋_GBK" w:cs="方正仿宋_GBK"/>
          <w:b w:val="0"/>
          <w:bCs w:val="0"/>
          <w:color w:val="auto"/>
          <w:sz w:val="24"/>
          <w:szCs w:val="24"/>
          <w:highlight w:val="none"/>
          <w:lang w:val="en-US" w:eastAsia="zh-CN"/>
        </w:rPr>
      </w:pPr>
    </w:p>
    <w:p w14:paraId="75E42751">
      <w:pPr>
        <w:pStyle w:val="3"/>
        <w:rPr>
          <w:rFonts w:hint="eastAsia" w:ascii="方正仿宋_GBK" w:hAnsi="方正仿宋_GBK" w:eastAsia="方正仿宋_GBK" w:cs="方正仿宋_GBK"/>
          <w:b w:val="0"/>
          <w:bCs w:val="0"/>
          <w:color w:val="auto"/>
          <w:sz w:val="24"/>
          <w:szCs w:val="24"/>
          <w:highlight w:val="none"/>
          <w:lang w:val="en-US" w:eastAsia="zh-CN"/>
        </w:rPr>
      </w:pPr>
    </w:p>
    <w:p w14:paraId="40DE5B6A">
      <w:pPr>
        <w:rPr>
          <w:rFonts w:hint="eastAsia" w:ascii="方正仿宋_GBK" w:hAnsi="方正仿宋_GBK" w:eastAsia="方正仿宋_GBK" w:cs="方正仿宋_GBK"/>
          <w:b w:val="0"/>
          <w:bCs w:val="0"/>
          <w:color w:val="auto"/>
          <w:sz w:val="24"/>
          <w:szCs w:val="24"/>
          <w:highlight w:val="none"/>
          <w:lang w:val="en-US" w:eastAsia="zh-CN"/>
        </w:rPr>
      </w:pPr>
    </w:p>
    <w:p w14:paraId="4C7E8C07">
      <w:pPr>
        <w:pStyle w:val="3"/>
        <w:rPr>
          <w:rFonts w:hint="eastAsia" w:ascii="方正仿宋_GBK" w:hAnsi="方正仿宋_GBK" w:eastAsia="方正仿宋_GBK" w:cs="方正仿宋_GBK"/>
          <w:b w:val="0"/>
          <w:bCs w:val="0"/>
          <w:color w:val="auto"/>
          <w:sz w:val="24"/>
          <w:szCs w:val="24"/>
          <w:highlight w:val="none"/>
          <w:lang w:val="en-US" w:eastAsia="zh-CN"/>
        </w:rPr>
      </w:pPr>
    </w:p>
    <w:p w14:paraId="39440B0F">
      <w:pPr>
        <w:rPr>
          <w:rFonts w:hint="eastAsia" w:ascii="方正仿宋_GBK" w:hAnsi="方正仿宋_GBK" w:eastAsia="方正仿宋_GBK" w:cs="方正仿宋_GBK"/>
          <w:b w:val="0"/>
          <w:bCs w:val="0"/>
          <w:color w:val="auto"/>
          <w:sz w:val="24"/>
          <w:szCs w:val="24"/>
          <w:highlight w:val="none"/>
          <w:lang w:val="en-US" w:eastAsia="zh-CN"/>
        </w:rPr>
      </w:pPr>
    </w:p>
    <w:p w14:paraId="68B83DE9">
      <w:pPr>
        <w:pStyle w:val="19"/>
        <w:rPr>
          <w:rFonts w:hint="eastAsia"/>
          <w:lang w:val="en-US" w:eastAsia="zh-CN"/>
        </w:rPr>
      </w:pPr>
    </w:p>
    <w:p w14:paraId="4623A7DA">
      <w:pPr>
        <w:rPr>
          <w:rFonts w:hint="eastAsia"/>
          <w:lang w:val="en-US" w:eastAsia="zh-CN"/>
        </w:rPr>
      </w:pPr>
    </w:p>
    <w:p w14:paraId="15662F9D">
      <w:pPr>
        <w:numPr>
          <w:ilvl w:val="-1"/>
          <w:numId w:val="0"/>
        </w:numPr>
        <w:jc w:val="center"/>
        <w:rPr>
          <w:b/>
          <w:sz w:val="32"/>
          <w:szCs w:val="32"/>
        </w:rPr>
      </w:pPr>
      <w:r>
        <w:rPr>
          <w:rFonts w:hint="eastAsia"/>
          <w:b/>
          <w:sz w:val="32"/>
          <w:szCs w:val="32"/>
        </w:rPr>
        <w:t>商务条款响应及偏离表</w:t>
      </w:r>
    </w:p>
    <w:p w14:paraId="0A6ACC4D">
      <w:pPr>
        <w:pStyle w:val="28"/>
        <w:spacing w:line="360" w:lineRule="auto"/>
        <w:rPr>
          <w:rFonts w:hint="eastAsia" w:ascii="宋体" w:hAnsi="宋体" w:cs="宋体"/>
          <w:color w:val="auto"/>
          <w:sz w:val="21"/>
          <w:szCs w:val="21"/>
        </w:rPr>
      </w:pPr>
      <w:r>
        <w:rPr>
          <w:rFonts w:hint="eastAsia" w:ascii="宋体" w:hAnsi="宋体" w:cs="宋体"/>
          <w:color w:val="auto"/>
          <w:sz w:val="21"/>
          <w:szCs w:val="21"/>
        </w:rPr>
        <w:t>供应商全称（加盖公章）：</w:t>
      </w:r>
    </w:p>
    <w:p w14:paraId="34F9EC84">
      <w:pPr>
        <w:pStyle w:val="28"/>
        <w:spacing w:line="360" w:lineRule="auto"/>
      </w:pPr>
      <w:r>
        <w:rPr>
          <w:rFonts w:hint="eastAsia" w:ascii="宋体" w:hAnsi="宋体" w:cs="宋体"/>
          <w:color w:val="auto"/>
          <w:sz w:val="21"/>
          <w:szCs w:val="21"/>
        </w:rPr>
        <w:t xml:space="preserve">项目名称： </w:t>
      </w:r>
    </w:p>
    <w:p w14:paraId="31DCE6C2">
      <w:pPr>
        <w:rPr>
          <w:b/>
          <w:sz w:val="32"/>
          <w:szCs w:val="32"/>
        </w:rPr>
      </w:pPr>
    </w:p>
    <w:tbl>
      <w:tblPr>
        <w:tblStyle w:val="48"/>
        <w:tblW w:w="851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57"/>
        <w:gridCol w:w="2379"/>
        <w:gridCol w:w="1747"/>
        <w:gridCol w:w="2836"/>
      </w:tblGrid>
      <w:tr w14:paraId="3B038C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57" w:type="dxa"/>
            <w:tcBorders>
              <w:top w:val="single" w:color="auto" w:sz="4" w:space="0"/>
              <w:left w:val="single" w:color="auto" w:sz="4" w:space="0"/>
              <w:bottom w:val="single" w:color="auto" w:sz="4" w:space="0"/>
              <w:right w:val="single" w:color="auto" w:sz="4" w:space="0"/>
            </w:tcBorders>
          </w:tcPr>
          <w:p w14:paraId="146F2D90">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项目</w:t>
            </w:r>
          </w:p>
        </w:tc>
        <w:tc>
          <w:tcPr>
            <w:tcW w:w="2379" w:type="dxa"/>
            <w:tcBorders>
              <w:top w:val="single" w:color="auto" w:sz="4" w:space="0"/>
              <w:left w:val="single" w:color="auto" w:sz="4" w:space="0"/>
              <w:bottom w:val="single" w:color="auto" w:sz="4" w:space="0"/>
              <w:right w:val="single" w:color="auto" w:sz="4" w:space="0"/>
            </w:tcBorders>
          </w:tcPr>
          <w:p w14:paraId="6B155699">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lang w:val="en-US" w:eastAsia="zh-CN"/>
              </w:rPr>
              <w:t>询比</w:t>
            </w:r>
            <w:r>
              <w:rPr>
                <w:rFonts w:hint="eastAsia" w:ascii="方正仿宋_GBK" w:hAnsi="方正仿宋_GBK" w:eastAsia="方正仿宋_GBK" w:cs="方正仿宋_GBK"/>
                <w:szCs w:val="21"/>
              </w:rPr>
              <w:t>要求</w:t>
            </w:r>
          </w:p>
        </w:tc>
        <w:tc>
          <w:tcPr>
            <w:tcW w:w="1747" w:type="dxa"/>
            <w:tcBorders>
              <w:top w:val="single" w:color="auto" w:sz="4" w:space="0"/>
              <w:left w:val="single" w:color="auto" w:sz="4" w:space="0"/>
              <w:bottom w:val="single" w:color="auto" w:sz="4" w:space="0"/>
              <w:right w:val="single" w:color="auto" w:sz="4" w:space="0"/>
            </w:tcBorders>
          </w:tcPr>
          <w:p w14:paraId="7449734E">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是否响应</w:t>
            </w:r>
          </w:p>
        </w:tc>
        <w:tc>
          <w:tcPr>
            <w:tcW w:w="2836" w:type="dxa"/>
            <w:tcBorders>
              <w:top w:val="single" w:color="auto" w:sz="4" w:space="0"/>
              <w:left w:val="single" w:color="auto" w:sz="4" w:space="0"/>
              <w:bottom w:val="single" w:color="auto" w:sz="4" w:space="0"/>
              <w:right w:val="single" w:color="auto" w:sz="4" w:space="0"/>
            </w:tcBorders>
          </w:tcPr>
          <w:p w14:paraId="723BA254">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lang w:eastAsia="zh-CN"/>
              </w:rPr>
              <w:t>供应商</w:t>
            </w:r>
            <w:r>
              <w:rPr>
                <w:rFonts w:hint="eastAsia" w:ascii="方正仿宋_GBK" w:hAnsi="方正仿宋_GBK" w:eastAsia="方正仿宋_GBK" w:cs="方正仿宋_GBK"/>
                <w:szCs w:val="21"/>
              </w:rPr>
              <w:t>的承诺或说明</w:t>
            </w:r>
          </w:p>
        </w:tc>
      </w:tr>
      <w:tr w14:paraId="66B47A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57" w:type="dxa"/>
            <w:tcBorders>
              <w:top w:val="single" w:color="auto" w:sz="4" w:space="0"/>
              <w:left w:val="single" w:color="auto" w:sz="4" w:space="0"/>
              <w:bottom w:val="single" w:color="auto" w:sz="4" w:space="0"/>
              <w:right w:val="single" w:color="auto" w:sz="4" w:space="0"/>
            </w:tcBorders>
          </w:tcPr>
          <w:p w14:paraId="116E46A7">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服务期</w:t>
            </w:r>
          </w:p>
        </w:tc>
        <w:tc>
          <w:tcPr>
            <w:tcW w:w="2379" w:type="dxa"/>
            <w:tcBorders>
              <w:top w:val="single" w:color="auto" w:sz="4" w:space="0"/>
              <w:left w:val="single" w:color="auto" w:sz="4" w:space="0"/>
              <w:bottom w:val="single" w:color="auto" w:sz="4" w:space="0"/>
              <w:right w:val="single" w:color="auto" w:sz="4" w:space="0"/>
            </w:tcBorders>
          </w:tcPr>
          <w:p w14:paraId="777DA2A4">
            <w:pPr>
              <w:spacing w:before="156"/>
              <w:jc w:val="center"/>
              <w:rPr>
                <w:rFonts w:hint="eastAsia" w:ascii="方正仿宋_GBK" w:hAnsi="方正仿宋_GBK" w:eastAsia="方正仿宋_GBK" w:cs="方正仿宋_GBK"/>
                <w:szCs w:val="21"/>
              </w:rPr>
            </w:pPr>
          </w:p>
        </w:tc>
        <w:tc>
          <w:tcPr>
            <w:tcW w:w="1747" w:type="dxa"/>
            <w:tcBorders>
              <w:top w:val="single" w:color="auto" w:sz="4" w:space="0"/>
              <w:left w:val="single" w:color="auto" w:sz="4" w:space="0"/>
              <w:bottom w:val="single" w:color="auto" w:sz="4" w:space="0"/>
              <w:right w:val="single" w:color="auto" w:sz="4" w:space="0"/>
            </w:tcBorders>
          </w:tcPr>
          <w:p w14:paraId="7964987F">
            <w:pPr>
              <w:spacing w:before="156"/>
              <w:jc w:val="center"/>
              <w:rPr>
                <w:rFonts w:hint="eastAsia" w:ascii="方正仿宋_GBK" w:hAnsi="方正仿宋_GBK" w:eastAsia="方正仿宋_GBK" w:cs="方正仿宋_GBK"/>
                <w:szCs w:val="21"/>
              </w:rPr>
            </w:pPr>
          </w:p>
        </w:tc>
        <w:tc>
          <w:tcPr>
            <w:tcW w:w="2836" w:type="dxa"/>
            <w:tcBorders>
              <w:top w:val="single" w:color="auto" w:sz="4" w:space="0"/>
              <w:left w:val="single" w:color="auto" w:sz="4" w:space="0"/>
              <w:bottom w:val="single" w:color="auto" w:sz="4" w:space="0"/>
              <w:right w:val="single" w:color="auto" w:sz="4" w:space="0"/>
            </w:tcBorders>
          </w:tcPr>
          <w:p w14:paraId="3E5A20C0">
            <w:pPr>
              <w:spacing w:before="156"/>
              <w:jc w:val="center"/>
              <w:rPr>
                <w:rFonts w:hint="eastAsia" w:ascii="方正仿宋_GBK" w:hAnsi="方正仿宋_GBK" w:eastAsia="方正仿宋_GBK" w:cs="方正仿宋_GBK"/>
                <w:szCs w:val="21"/>
              </w:rPr>
            </w:pPr>
          </w:p>
        </w:tc>
      </w:tr>
      <w:tr w14:paraId="73F283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57" w:type="dxa"/>
            <w:tcBorders>
              <w:top w:val="single" w:color="auto" w:sz="4" w:space="0"/>
              <w:left w:val="single" w:color="auto" w:sz="4" w:space="0"/>
              <w:bottom w:val="single" w:color="auto" w:sz="4" w:space="0"/>
              <w:right w:val="single" w:color="auto" w:sz="4" w:space="0"/>
            </w:tcBorders>
          </w:tcPr>
          <w:p w14:paraId="216268A3">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交付时间</w:t>
            </w:r>
          </w:p>
        </w:tc>
        <w:tc>
          <w:tcPr>
            <w:tcW w:w="2379" w:type="dxa"/>
            <w:tcBorders>
              <w:top w:val="single" w:color="auto" w:sz="4" w:space="0"/>
              <w:left w:val="single" w:color="auto" w:sz="4" w:space="0"/>
              <w:bottom w:val="single" w:color="auto" w:sz="4" w:space="0"/>
              <w:right w:val="single" w:color="auto" w:sz="4" w:space="0"/>
            </w:tcBorders>
          </w:tcPr>
          <w:p w14:paraId="6F974684">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rPr>
              <w:t>合同签订后</w:t>
            </w:r>
            <w:r>
              <w:rPr>
                <w:rFonts w:hint="eastAsia" w:ascii="方正仿宋_GBK" w:hAnsi="方正仿宋_GBK" w:eastAsia="方正仿宋_GBK" w:cs="方正仿宋_GBK"/>
                <w:lang w:val="en-US" w:eastAsia="zh-CN"/>
              </w:rPr>
              <w:t xml:space="preserve">  </w:t>
            </w:r>
            <w:r>
              <w:rPr>
                <w:rFonts w:hint="eastAsia" w:ascii="方正仿宋_GBK" w:hAnsi="方正仿宋_GBK" w:eastAsia="方正仿宋_GBK" w:cs="方正仿宋_GBK"/>
              </w:rPr>
              <w:t>天内</w:t>
            </w:r>
          </w:p>
        </w:tc>
        <w:tc>
          <w:tcPr>
            <w:tcW w:w="1747" w:type="dxa"/>
            <w:tcBorders>
              <w:top w:val="single" w:color="auto" w:sz="4" w:space="0"/>
              <w:left w:val="single" w:color="auto" w:sz="4" w:space="0"/>
              <w:bottom w:val="single" w:color="auto" w:sz="4" w:space="0"/>
              <w:right w:val="single" w:color="auto" w:sz="4" w:space="0"/>
            </w:tcBorders>
          </w:tcPr>
          <w:p w14:paraId="2789071B">
            <w:pPr>
              <w:spacing w:before="156"/>
              <w:ind w:left="43"/>
              <w:jc w:val="center"/>
              <w:rPr>
                <w:rFonts w:hint="eastAsia" w:ascii="方正仿宋_GBK" w:hAnsi="方正仿宋_GBK" w:eastAsia="方正仿宋_GBK" w:cs="方正仿宋_GBK"/>
                <w:szCs w:val="21"/>
              </w:rPr>
            </w:pPr>
          </w:p>
        </w:tc>
        <w:tc>
          <w:tcPr>
            <w:tcW w:w="2836" w:type="dxa"/>
            <w:tcBorders>
              <w:top w:val="single" w:color="auto" w:sz="4" w:space="0"/>
              <w:left w:val="single" w:color="auto" w:sz="4" w:space="0"/>
              <w:bottom w:val="single" w:color="auto" w:sz="4" w:space="0"/>
              <w:right w:val="single" w:color="auto" w:sz="4" w:space="0"/>
            </w:tcBorders>
          </w:tcPr>
          <w:p w14:paraId="3B740966">
            <w:pPr>
              <w:spacing w:before="156"/>
              <w:ind w:left="43"/>
              <w:jc w:val="center"/>
              <w:rPr>
                <w:rFonts w:hint="eastAsia" w:ascii="方正仿宋_GBK" w:hAnsi="方正仿宋_GBK" w:eastAsia="方正仿宋_GBK" w:cs="方正仿宋_GBK"/>
                <w:szCs w:val="21"/>
              </w:rPr>
            </w:pPr>
          </w:p>
        </w:tc>
      </w:tr>
      <w:tr w14:paraId="0193C5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57" w:type="dxa"/>
            <w:tcBorders>
              <w:top w:val="single" w:color="auto" w:sz="4" w:space="0"/>
              <w:left w:val="single" w:color="auto" w:sz="4" w:space="0"/>
              <w:bottom w:val="single" w:color="auto" w:sz="4" w:space="0"/>
              <w:right w:val="single" w:color="auto" w:sz="4" w:space="0"/>
            </w:tcBorders>
          </w:tcPr>
          <w:p w14:paraId="7891956B">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交付方式</w:t>
            </w:r>
          </w:p>
        </w:tc>
        <w:tc>
          <w:tcPr>
            <w:tcW w:w="2379" w:type="dxa"/>
            <w:tcBorders>
              <w:top w:val="single" w:color="auto" w:sz="4" w:space="0"/>
              <w:left w:val="single" w:color="auto" w:sz="4" w:space="0"/>
              <w:bottom w:val="single" w:color="auto" w:sz="4" w:space="0"/>
              <w:right w:val="single" w:color="auto" w:sz="4" w:space="0"/>
            </w:tcBorders>
          </w:tcPr>
          <w:p w14:paraId="59FE1C8C">
            <w:pPr>
              <w:spacing w:before="156"/>
              <w:rPr>
                <w:rFonts w:hint="eastAsia" w:ascii="方正仿宋_GBK" w:hAnsi="方正仿宋_GBK" w:eastAsia="方正仿宋_GBK" w:cs="方正仿宋_GBK"/>
                <w:szCs w:val="21"/>
              </w:rPr>
            </w:pPr>
          </w:p>
        </w:tc>
        <w:tc>
          <w:tcPr>
            <w:tcW w:w="1747" w:type="dxa"/>
            <w:tcBorders>
              <w:top w:val="single" w:color="auto" w:sz="4" w:space="0"/>
              <w:left w:val="single" w:color="auto" w:sz="4" w:space="0"/>
              <w:bottom w:val="single" w:color="auto" w:sz="4" w:space="0"/>
              <w:right w:val="single" w:color="auto" w:sz="4" w:space="0"/>
            </w:tcBorders>
          </w:tcPr>
          <w:p w14:paraId="18BDE987">
            <w:pPr>
              <w:spacing w:before="156"/>
              <w:ind w:left="43"/>
              <w:jc w:val="center"/>
              <w:rPr>
                <w:rFonts w:hint="eastAsia" w:ascii="方正仿宋_GBK" w:hAnsi="方正仿宋_GBK" w:eastAsia="方正仿宋_GBK" w:cs="方正仿宋_GBK"/>
                <w:szCs w:val="21"/>
              </w:rPr>
            </w:pPr>
          </w:p>
        </w:tc>
        <w:tc>
          <w:tcPr>
            <w:tcW w:w="2836" w:type="dxa"/>
            <w:tcBorders>
              <w:top w:val="single" w:color="auto" w:sz="4" w:space="0"/>
              <w:left w:val="single" w:color="auto" w:sz="4" w:space="0"/>
              <w:bottom w:val="single" w:color="auto" w:sz="4" w:space="0"/>
              <w:right w:val="single" w:color="auto" w:sz="4" w:space="0"/>
            </w:tcBorders>
          </w:tcPr>
          <w:p w14:paraId="00282EEB">
            <w:pPr>
              <w:spacing w:before="156"/>
              <w:ind w:left="43"/>
              <w:jc w:val="center"/>
              <w:rPr>
                <w:rFonts w:hint="eastAsia" w:ascii="方正仿宋_GBK" w:hAnsi="方正仿宋_GBK" w:eastAsia="方正仿宋_GBK" w:cs="方正仿宋_GBK"/>
                <w:szCs w:val="21"/>
              </w:rPr>
            </w:pPr>
          </w:p>
        </w:tc>
      </w:tr>
      <w:tr w14:paraId="0EDECF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57" w:type="dxa"/>
            <w:tcBorders>
              <w:top w:val="single" w:color="auto" w:sz="4" w:space="0"/>
              <w:left w:val="single" w:color="auto" w:sz="4" w:space="0"/>
              <w:bottom w:val="single" w:color="auto" w:sz="4" w:space="0"/>
              <w:right w:val="single" w:color="auto" w:sz="4" w:space="0"/>
            </w:tcBorders>
          </w:tcPr>
          <w:p w14:paraId="422FCEC1">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交付地点</w:t>
            </w:r>
          </w:p>
        </w:tc>
        <w:tc>
          <w:tcPr>
            <w:tcW w:w="2379" w:type="dxa"/>
            <w:tcBorders>
              <w:top w:val="single" w:color="auto" w:sz="4" w:space="0"/>
              <w:left w:val="single" w:color="auto" w:sz="4" w:space="0"/>
              <w:bottom w:val="single" w:color="auto" w:sz="4" w:space="0"/>
              <w:right w:val="single" w:color="auto" w:sz="4" w:space="0"/>
            </w:tcBorders>
          </w:tcPr>
          <w:p w14:paraId="2F1234D5">
            <w:pPr>
              <w:spacing w:before="156"/>
              <w:rPr>
                <w:rFonts w:hint="eastAsia" w:ascii="方正仿宋_GBK" w:hAnsi="方正仿宋_GBK" w:eastAsia="方正仿宋_GBK" w:cs="方正仿宋_GBK"/>
                <w:szCs w:val="21"/>
              </w:rPr>
            </w:pPr>
          </w:p>
        </w:tc>
        <w:tc>
          <w:tcPr>
            <w:tcW w:w="1747" w:type="dxa"/>
            <w:tcBorders>
              <w:top w:val="single" w:color="auto" w:sz="4" w:space="0"/>
              <w:left w:val="single" w:color="auto" w:sz="4" w:space="0"/>
              <w:bottom w:val="single" w:color="auto" w:sz="4" w:space="0"/>
              <w:right w:val="single" w:color="auto" w:sz="4" w:space="0"/>
            </w:tcBorders>
          </w:tcPr>
          <w:p w14:paraId="57150A07">
            <w:pPr>
              <w:spacing w:before="156"/>
              <w:ind w:left="43"/>
              <w:jc w:val="center"/>
              <w:rPr>
                <w:rFonts w:hint="eastAsia" w:ascii="方正仿宋_GBK" w:hAnsi="方正仿宋_GBK" w:eastAsia="方正仿宋_GBK" w:cs="方正仿宋_GBK"/>
                <w:szCs w:val="21"/>
              </w:rPr>
            </w:pPr>
          </w:p>
        </w:tc>
        <w:tc>
          <w:tcPr>
            <w:tcW w:w="2836" w:type="dxa"/>
            <w:tcBorders>
              <w:top w:val="single" w:color="auto" w:sz="4" w:space="0"/>
              <w:left w:val="single" w:color="auto" w:sz="4" w:space="0"/>
              <w:bottom w:val="single" w:color="auto" w:sz="4" w:space="0"/>
              <w:right w:val="single" w:color="auto" w:sz="4" w:space="0"/>
            </w:tcBorders>
          </w:tcPr>
          <w:p w14:paraId="40FDD84F">
            <w:pPr>
              <w:spacing w:before="156"/>
              <w:ind w:left="43"/>
              <w:jc w:val="center"/>
              <w:rPr>
                <w:rFonts w:hint="eastAsia" w:ascii="方正仿宋_GBK" w:hAnsi="方正仿宋_GBK" w:eastAsia="方正仿宋_GBK" w:cs="方正仿宋_GBK"/>
                <w:szCs w:val="21"/>
              </w:rPr>
            </w:pPr>
          </w:p>
        </w:tc>
      </w:tr>
      <w:tr w14:paraId="1A138E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57" w:type="dxa"/>
            <w:tcBorders>
              <w:top w:val="single" w:color="auto" w:sz="4" w:space="0"/>
              <w:left w:val="single" w:color="auto" w:sz="4" w:space="0"/>
              <w:bottom w:val="single" w:color="auto" w:sz="4" w:space="0"/>
              <w:right w:val="single" w:color="auto" w:sz="4" w:space="0"/>
            </w:tcBorders>
          </w:tcPr>
          <w:p w14:paraId="623170EC">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lang w:val="en-US" w:eastAsia="zh-CN"/>
              </w:rPr>
              <w:t>付款</w:t>
            </w:r>
            <w:r>
              <w:rPr>
                <w:rFonts w:hint="eastAsia" w:ascii="方正仿宋_GBK" w:hAnsi="方正仿宋_GBK" w:eastAsia="方正仿宋_GBK" w:cs="方正仿宋_GBK"/>
                <w:szCs w:val="21"/>
              </w:rPr>
              <w:t>方式</w:t>
            </w:r>
          </w:p>
        </w:tc>
        <w:tc>
          <w:tcPr>
            <w:tcW w:w="2379" w:type="dxa"/>
            <w:tcBorders>
              <w:top w:val="single" w:color="auto" w:sz="4" w:space="0"/>
              <w:left w:val="single" w:color="auto" w:sz="4" w:space="0"/>
              <w:bottom w:val="single" w:color="auto" w:sz="4" w:space="0"/>
              <w:right w:val="single" w:color="auto" w:sz="4" w:space="0"/>
            </w:tcBorders>
          </w:tcPr>
          <w:p w14:paraId="0804392E">
            <w:pPr>
              <w:spacing w:before="156"/>
              <w:rPr>
                <w:rFonts w:hint="eastAsia" w:ascii="方正仿宋_GBK" w:hAnsi="方正仿宋_GBK" w:eastAsia="方正仿宋_GBK" w:cs="方正仿宋_GBK"/>
                <w:szCs w:val="21"/>
              </w:rPr>
            </w:pPr>
          </w:p>
        </w:tc>
        <w:tc>
          <w:tcPr>
            <w:tcW w:w="1747" w:type="dxa"/>
            <w:tcBorders>
              <w:top w:val="single" w:color="auto" w:sz="4" w:space="0"/>
              <w:left w:val="single" w:color="auto" w:sz="4" w:space="0"/>
              <w:bottom w:val="single" w:color="auto" w:sz="4" w:space="0"/>
              <w:right w:val="single" w:color="auto" w:sz="4" w:space="0"/>
            </w:tcBorders>
          </w:tcPr>
          <w:p w14:paraId="0D49D9D9">
            <w:pPr>
              <w:spacing w:before="156"/>
              <w:jc w:val="center"/>
              <w:rPr>
                <w:rFonts w:hint="eastAsia" w:ascii="方正仿宋_GBK" w:hAnsi="方正仿宋_GBK" w:eastAsia="方正仿宋_GBK" w:cs="方正仿宋_GBK"/>
                <w:szCs w:val="21"/>
              </w:rPr>
            </w:pPr>
          </w:p>
        </w:tc>
        <w:tc>
          <w:tcPr>
            <w:tcW w:w="2836" w:type="dxa"/>
            <w:tcBorders>
              <w:top w:val="single" w:color="auto" w:sz="4" w:space="0"/>
              <w:left w:val="single" w:color="auto" w:sz="4" w:space="0"/>
              <w:bottom w:val="single" w:color="auto" w:sz="4" w:space="0"/>
              <w:right w:val="single" w:color="auto" w:sz="4" w:space="0"/>
            </w:tcBorders>
          </w:tcPr>
          <w:p w14:paraId="1CD776A4">
            <w:pPr>
              <w:spacing w:before="156"/>
              <w:jc w:val="center"/>
              <w:rPr>
                <w:rFonts w:hint="eastAsia" w:ascii="方正仿宋_GBK" w:hAnsi="方正仿宋_GBK" w:eastAsia="方正仿宋_GBK" w:cs="方正仿宋_GBK"/>
                <w:szCs w:val="21"/>
              </w:rPr>
            </w:pPr>
          </w:p>
        </w:tc>
      </w:tr>
      <w:tr w14:paraId="6CDB9D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57" w:type="dxa"/>
            <w:tcBorders>
              <w:top w:val="single" w:color="auto" w:sz="4" w:space="0"/>
              <w:left w:val="single" w:color="auto" w:sz="4" w:space="0"/>
              <w:bottom w:val="single" w:color="auto" w:sz="4" w:space="0"/>
              <w:right w:val="single" w:color="auto" w:sz="4" w:space="0"/>
            </w:tcBorders>
          </w:tcPr>
          <w:p w14:paraId="5BC0E410">
            <w:pPr>
              <w:spacing w:before="156"/>
              <w:jc w:val="center"/>
              <w:rPr>
                <w:rFonts w:hint="eastAsia" w:ascii="方正仿宋_GBK" w:hAnsi="方正仿宋_GBK" w:eastAsia="方正仿宋_GBK" w:cs="方正仿宋_GBK"/>
                <w:szCs w:val="21"/>
                <w:lang w:val="en-US" w:eastAsia="zh-CN"/>
              </w:rPr>
            </w:pPr>
            <w:r>
              <w:rPr>
                <w:rFonts w:hint="eastAsia" w:ascii="方正仿宋_GBK" w:hAnsi="方正仿宋_GBK" w:eastAsia="方正仿宋_GBK" w:cs="方正仿宋_GBK"/>
                <w:color w:val="auto"/>
                <w:szCs w:val="21"/>
                <w:lang w:val="en-US" w:eastAsia="zh-CN"/>
              </w:rPr>
              <w:t>报价货币</w:t>
            </w:r>
          </w:p>
        </w:tc>
        <w:tc>
          <w:tcPr>
            <w:tcW w:w="2379" w:type="dxa"/>
            <w:tcBorders>
              <w:top w:val="single" w:color="auto" w:sz="4" w:space="0"/>
              <w:left w:val="single" w:color="auto" w:sz="4" w:space="0"/>
              <w:bottom w:val="single" w:color="auto" w:sz="4" w:space="0"/>
              <w:right w:val="single" w:color="auto" w:sz="4" w:space="0"/>
            </w:tcBorders>
          </w:tcPr>
          <w:p w14:paraId="02A6A1E7">
            <w:pPr>
              <w:spacing w:before="156"/>
              <w:rPr>
                <w:rFonts w:hint="eastAsia" w:ascii="方正仿宋_GBK" w:hAnsi="方正仿宋_GBK" w:eastAsia="方正仿宋_GBK" w:cs="方正仿宋_GBK"/>
                <w:szCs w:val="21"/>
              </w:rPr>
            </w:pPr>
          </w:p>
        </w:tc>
        <w:tc>
          <w:tcPr>
            <w:tcW w:w="1747" w:type="dxa"/>
            <w:tcBorders>
              <w:top w:val="single" w:color="auto" w:sz="4" w:space="0"/>
              <w:left w:val="single" w:color="auto" w:sz="4" w:space="0"/>
              <w:bottom w:val="single" w:color="auto" w:sz="4" w:space="0"/>
              <w:right w:val="single" w:color="auto" w:sz="4" w:space="0"/>
            </w:tcBorders>
          </w:tcPr>
          <w:p w14:paraId="4DDE8ACA">
            <w:pPr>
              <w:spacing w:before="156"/>
              <w:jc w:val="center"/>
              <w:rPr>
                <w:rFonts w:hint="eastAsia" w:ascii="方正仿宋_GBK" w:hAnsi="方正仿宋_GBK" w:eastAsia="方正仿宋_GBK" w:cs="方正仿宋_GBK"/>
                <w:szCs w:val="21"/>
              </w:rPr>
            </w:pPr>
          </w:p>
        </w:tc>
        <w:tc>
          <w:tcPr>
            <w:tcW w:w="2836" w:type="dxa"/>
            <w:tcBorders>
              <w:top w:val="single" w:color="auto" w:sz="4" w:space="0"/>
              <w:left w:val="single" w:color="auto" w:sz="4" w:space="0"/>
              <w:bottom w:val="single" w:color="auto" w:sz="4" w:space="0"/>
              <w:right w:val="single" w:color="auto" w:sz="4" w:space="0"/>
            </w:tcBorders>
          </w:tcPr>
          <w:p w14:paraId="1CB6C402">
            <w:pPr>
              <w:spacing w:before="156"/>
              <w:jc w:val="center"/>
              <w:rPr>
                <w:rFonts w:hint="eastAsia" w:ascii="方正仿宋_GBK" w:hAnsi="方正仿宋_GBK" w:eastAsia="方正仿宋_GBK" w:cs="方正仿宋_GBK"/>
                <w:szCs w:val="21"/>
              </w:rPr>
            </w:pPr>
          </w:p>
        </w:tc>
      </w:tr>
      <w:tr w14:paraId="3D27F1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557" w:type="dxa"/>
            <w:tcBorders>
              <w:top w:val="single" w:color="auto" w:sz="4" w:space="0"/>
              <w:left w:val="single" w:color="auto" w:sz="4" w:space="0"/>
              <w:bottom w:val="single" w:color="auto" w:sz="4" w:space="0"/>
              <w:right w:val="single" w:color="auto" w:sz="4" w:space="0"/>
            </w:tcBorders>
          </w:tcPr>
          <w:p w14:paraId="26A563BD">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其他</w:t>
            </w:r>
          </w:p>
        </w:tc>
        <w:tc>
          <w:tcPr>
            <w:tcW w:w="2379" w:type="dxa"/>
            <w:tcBorders>
              <w:top w:val="single" w:color="auto" w:sz="4" w:space="0"/>
              <w:left w:val="single" w:color="auto" w:sz="4" w:space="0"/>
              <w:bottom w:val="single" w:color="auto" w:sz="4" w:space="0"/>
              <w:right w:val="single" w:color="auto" w:sz="4" w:space="0"/>
            </w:tcBorders>
          </w:tcPr>
          <w:p w14:paraId="63306A2C">
            <w:pPr>
              <w:spacing w:before="156"/>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w:t>
            </w:r>
          </w:p>
        </w:tc>
        <w:tc>
          <w:tcPr>
            <w:tcW w:w="1747" w:type="dxa"/>
            <w:tcBorders>
              <w:top w:val="single" w:color="auto" w:sz="4" w:space="0"/>
              <w:left w:val="single" w:color="auto" w:sz="4" w:space="0"/>
              <w:bottom w:val="single" w:color="auto" w:sz="4" w:space="0"/>
              <w:right w:val="single" w:color="auto" w:sz="4" w:space="0"/>
            </w:tcBorders>
          </w:tcPr>
          <w:p w14:paraId="05D9A5A8">
            <w:pPr>
              <w:spacing w:before="156"/>
              <w:jc w:val="center"/>
              <w:rPr>
                <w:rFonts w:hint="eastAsia" w:ascii="方正仿宋_GBK" w:hAnsi="方正仿宋_GBK" w:eastAsia="方正仿宋_GBK" w:cs="方正仿宋_GBK"/>
                <w:szCs w:val="21"/>
              </w:rPr>
            </w:pPr>
          </w:p>
        </w:tc>
        <w:tc>
          <w:tcPr>
            <w:tcW w:w="2836" w:type="dxa"/>
            <w:tcBorders>
              <w:top w:val="single" w:color="auto" w:sz="4" w:space="0"/>
              <w:left w:val="single" w:color="auto" w:sz="4" w:space="0"/>
              <w:bottom w:val="single" w:color="auto" w:sz="4" w:space="0"/>
              <w:right w:val="single" w:color="auto" w:sz="4" w:space="0"/>
            </w:tcBorders>
          </w:tcPr>
          <w:p w14:paraId="65BC43D0">
            <w:pPr>
              <w:spacing w:before="156"/>
              <w:jc w:val="center"/>
              <w:rPr>
                <w:rFonts w:hint="eastAsia" w:ascii="方正仿宋_GBK" w:hAnsi="方正仿宋_GBK" w:eastAsia="方正仿宋_GBK" w:cs="方正仿宋_GBK"/>
                <w:szCs w:val="21"/>
              </w:rPr>
            </w:pPr>
          </w:p>
        </w:tc>
      </w:tr>
    </w:tbl>
    <w:p w14:paraId="32D98055">
      <w:pPr>
        <w:spacing w:line="480" w:lineRule="auto"/>
        <w:rPr>
          <w:sz w:val="30"/>
        </w:rPr>
      </w:pPr>
    </w:p>
    <w:p w14:paraId="5AF10FB3">
      <w:r>
        <w:rPr>
          <w:rFonts w:hint="eastAsia"/>
        </w:rPr>
        <w:t>法定代表人或授权代表（签字或盖章）</w:t>
      </w:r>
    </w:p>
    <w:p w14:paraId="7211CCCD">
      <w:pPr>
        <w:ind w:firstLine="6825" w:firstLineChars="3250"/>
      </w:pPr>
    </w:p>
    <w:p w14:paraId="64C25BD4">
      <w:pPr>
        <w:ind w:firstLine="5985" w:firstLineChars="2850"/>
      </w:pPr>
      <w:r>
        <w:rPr>
          <w:rFonts w:hint="eastAsia"/>
        </w:rPr>
        <w:t>日期：  年  月  日</w:t>
      </w:r>
    </w:p>
    <w:p w14:paraId="3F2BD95B"/>
    <w:p w14:paraId="132D1B4D">
      <w:pPr>
        <w:jc w:val="center"/>
        <w:rPr>
          <w:rFonts w:hint="eastAsia" w:ascii="方正仿宋_GBK" w:hAnsi="方正仿宋_GBK" w:eastAsia="方正仿宋_GBK" w:cs="方正仿宋_GBK"/>
          <w:b/>
          <w:bCs/>
          <w:color w:val="auto"/>
          <w:sz w:val="24"/>
          <w:szCs w:val="24"/>
          <w:highlight w:val="none"/>
        </w:rPr>
      </w:pPr>
      <w:r>
        <w:rPr>
          <w:sz w:val="32"/>
          <w:szCs w:val="32"/>
        </w:rPr>
        <w:br w:type="page" w:clear="all"/>
      </w:r>
      <w:bookmarkStart w:id="0" w:name="_Toc462564140"/>
      <w:bookmarkEnd w:id="0"/>
      <w:bookmarkStart w:id="1" w:name="_Toc158691779"/>
      <w:bookmarkEnd w:id="1"/>
      <w:bookmarkStart w:id="2" w:name="_Toc205628638"/>
      <w:bookmarkEnd w:id="2"/>
      <w:bookmarkStart w:id="3" w:name="_Toc158691784"/>
    </w:p>
    <w:bookmarkEnd w:id="3"/>
    <w:p w14:paraId="2D317CAC">
      <w:pPr>
        <w:pStyle w:val="45"/>
        <w:keepNext w:val="0"/>
        <w:keepLines w:val="0"/>
        <w:widowControl/>
        <w:suppressLineNumbers w:val="0"/>
        <w:spacing w:before="0" w:beforeAutospacing="0" w:after="0" w:afterAutospacing="0" w:line="600" w:lineRule="exact"/>
        <w:ind w:left="0" w:right="0"/>
        <w:jc w:val="both"/>
      </w:pPr>
      <w:r>
        <w:rPr>
          <w:rFonts w:ascii="方正仿宋_GBK" w:hAnsi="方正仿宋_GBK" w:eastAsia="方正仿宋_GBK" w:cs="方正仿宋_GBK"/>
          <w:b w:val="0"/>
          <w:bCs w:val="0"/>
          <w:i w:val="0"/>
          <w:iCs w:val="0"/>
          <w:color w:val="000000"/>
          <w:spacing w:val="0"/>
          <w:w w:val="100"/>
          <w:sz w:val="21"/>
          <w:szCs w:val="21"/>
          <w:vertAlign w:val="baseline"/>
          <w:lang w:val="en-US"/>
        </w:rPr>
        <w:t> </w:t>
      </w:r>
    </w:p>
    <w:p w14:paraId="577CA857">
      <w:pPr>
        <w:numPr>
          <w:ilvl w:val="-1"/>
          <w:numId w:val="0"/>
        </w:numPr>
        <w:jc w:val="center"/>
        <w:rPr>
          <w:rFonts w:hint="eastAsia" w:ascii="Times New Roman" w:hAnsi="Times New Roman" w:eastAsia="宋体" w:cs="Times New Roman"/>
          <w:b/>
          <w:sz w:val="32"/>
          <w:szCs w:val="32"/>
          <w:lang w:val="en-US" w:eastAsia="zh-CN"/>
        </w:rPr>
      </w:pPr>
      <w:r>
        <w:rPr>
          <w:rFonts w:hint="eastAsia" w:ascii="Times New Roman" w:hAnsi="Times New Roman" w:eastAsia="宋体" w:cs="Times New Roman"/>
          <w:b/>
          <w:sz w:val="32"/>
          <w:szCs w:val="32"/>
          <w:lang w:val="en-US" w:eastAsia="zh-CN"/>
        </w:rPr>
        <w:t>其他</w:t>
      </w:r>
    </w:p>
    <w:sectPr>
      <w:pgSz w:w="11907" w:h="16840"/>
      <w:pgMar w:top="1134" w:right="1418" w:bottom="1134" w:left="1418" w:header="567" w:footer="794" w:gutter="0"/>
      <w:cols w:space="425" w:num="1"/>
      <w:docGrid w:linePitch="30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D1296F"/>
    <w:multiLevelType w:val="singleLevel"/>
    <w:tmpl w:val="EBD1296F"/>
    <w:lvl w:ilvl="0" w:tentative="0">
      <w:start w:val="1"/>
      <w:numFmt w:val="bullet"/>
      <w:pStyle w:val="21"/>
      <w:lvlText w:val=""/>
      <w:lvlJc w:val="left"/>
      <w:pPr>
        <w:tabs>
          <w:tab w:val="left" w:pos="780"/>
        </w:tabs>
        <w:ind w:left="780" w:hanging="360"/>
      </w:pPr>
      <w:rPr>
        <w:rFonts w:hint="default" w:ascii="Wingdings" w:hAnsi="Wingdings"/>
      </w:rPr>
    </w:lvl>
  </w:abstractNum>
  <w:abstractNum w:abstractNumId="1">
    <w:nsid w:val="420C153B"/>
    <w:multiLevelType w:val="multilevel"/>
    <w:tmpl w:val="420C153B"/>
    <w:lvl w:ilvl="0" w:tentative="0">
      <w:start w:val="1"/>
      <w:numFmt w:val="decimal"/>
      <w:pStyle w:val="61"/>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color w:val="auto"/>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30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EyMTEzYmUzMDE1NGYxZGEzZTVlNWU3YzcxMjQ1ZmYifQ=="/>
  </w:docVars>
  <w:rsids>
    <w:rsidRoot w:val="00172A27"/>
    <w:rsid w:val="00001085"/>
    <w:rsid w:val="000011D0"/>
    <w:rsid w:val="000017BD"/>
    <w:rsid w:val="0000346A"/>
    <w:rsid w:val="00003F68"/>
    <w:rsid w:val="00004C45"/>
    <w:rsid w:val="00005D94"/>
    <w:rsid w:val="00007DCD"/>
    <w:rsid w:val="0001070C"/>
    <w:rsid w:val="00010AF2"/>
    <w:rsid w:val="00010E14"/>
    <w:rsid w:val="00010EB1"/>
    <w:rsid w:val="00010FF4"/>
    <w:rsid w:val="000111AF"/>
    <w:rsid w:val="00012621"/>
    <w:rsid w:val="00013E35"/>
    <w:rsid w:val="00013E75"/>
    <w:rsid w:val="000145F6"/>
    <w:rsid w:val="00014B46"/>
    <w:rsid w:val="0001528E"/>
    <w:rsid w:val="000161F3"/>
    <w:rsid w:val="00016524"/>
    <w:rsid w:val="00016983"/>
    <w:rsid w:val="00016C92"/>
    <w:rsid w:val="00017543"/>
    <w:rsid w:val="0001765F"/>
    <w:rsid w:val="0001788A"/>
    <w:rsid w:val="00017908"/>
    <w:rsid w:val="000179B2"/>
    <w:rsid w:val="0002041B"/>
    <w:rsid w:val="00020A40"/>
    <w:rsid w:val="00021169"/>
    <w:rsid w:val="00021469"/>
    <w:rsid w:val="00021894"/>
    <w:rsid w:val="000248E8"/>
    <w:rsid w:val="000250F9"/>
    <w:rsid w:val="000252D0"/>
    <w:rsid w:val="00025A6A"/>
    <w:rsid w:val="0002656F"/>
    <w:rsid w:val="00026697"/>
    <w:rsid w:val="00027E56"/>
    <w:rsid w:val="00030073"/>
    <w:rsid w:val="0003139D"/>
    <w:rsid w:val="00031A37"/>
    <w:rsid w:val="0003203D"/>
    <w:rsid w:val="000324DA"/>
    <w:rsid w:val="00032C5D"/>
    <w:rsid w:val="000341B4"/>
    <w:rsid w:val="00034CC2"/>
    <w:rsid w:val="00034FAC"/>
    <w:rsid w:val="00035833"/>
    <w:rsid w:val="00035CC2"/>
    <w:rsid w:val="00035F09"/>
    <w:rsid w:val="00037168"/>
    <w:rsid w:val="00037227"/>
    <w:rsid w:val="00037275"/>
    <w:rsid w:val="000375A5"/>
    <w:rsid w:val="000378B9"/>
    <w:rsid w:val="000402E0"/>
    <w:rsid w:val="00041D7A"/>
    <w:rsid w:val="00041FC8"/>
    <w:rsid w:val="00041FEF"/>
    <w:rsid w:val="00042765"/>
    <w:rsid w:val="00042799"/>
    <w:rsid w:val="000437D5"/>
    <w:rsid w:val="0004383B"/>
    <w:rsid w:val="00043B33"/>
    <w:rsid w:val="00045E0B"/>
    <w:rsid w:val="00046CA7"/>
    <w:rsid w:val="0004724E"/>
    <w:rsid w:val="00047ABC"/>
    <w:rsid w:val="00047FB7"/>
    <w:rsid w:val="0005084D"/>
    <w:rsid w:val="00050A52"/>
    <w:rsid w:val="00050C21"/>
    <w:rsid w:val="00050F25"/>
    <w:rsid w:val="0005118F"/>
    <w:rsid w:val="00051382"/>
    <w:rsid w:val="000518B6"/>
    <w:rsid w:val="00052569"/>
    <w:rsid w:val="0005296A"/>
    <w:rsid w:val="00052A12"/>
    <w:rsid w:val="000533B0"/>
    <w:rsid w:val="00054099"/>
    <w:rsid w:val="0005497F"/>
    <w:rsid w:val="00054B0D"/>
    <w:rsid w:val="00054DEA"/>
    <w:rsid w:val="000553EE"/>
    <w:rsid w:val="00056B3A"/>
    <w:rsid w:val="00056F5E"/>
    <w:rsid w:val="00056FC3"/>
    <w:rsid w:val="00057ADF"/>
    <w:rsid w:val="00060251"/>
    <w:rsid w:val="00061A2A"/>
    <w:rsid w:val="00062B63"/>
    <w:rsid w:val="00063640"/>
    <w:rsid w:val="00063DF9"/>
    <w:rsid w:val="000640C1"/>
    <w:rsid w:val="00065B24"/>
    <w:rsid w:val="0006602D"/>
    <w:rsid w:val="000661F4"/>
    <w:rsid w:val="00066C81"/>
    <w:rsid w:val="000676D8"/>
    <w:rsid w:val="00067A2F"/>
    <w:rsid w:val="00067AB8"/>
    <w:rsid w:val="00067B7C"/>
    <w:rsid w:val="000712FE"/>
    <w:rsid w:val="000718A6"/>
    <w:rsid w:val="00072297"/>
    <w:rsid w:val="00072723"/>
    <w:rsid w:val="00073179"/>
    <w:rsid w:val="000748E4"/>
    <w:rsid w:val="000749F8"/>
    <w:rsid w:val="00075ED9"/>
    <w:rsid w:val="00076774"/>
    <w:rsid w:val="00076BBB"/>
    <w:rsid w:val="00076BD1"/>
    <w:rsid w:val="00076F45"/>
    <w:rsid w:val="000779BE"/>
    <w:rsid w:val="00080778"/>
    <w:rsid w:val="00080872"/>
    <w:rsid w:val="00080972"/>
    <w:rsid w:val="000817FA"/>
    <w:rsid w:val="00081DB8"/>
    <w:rsid w:val="0008211D"/>
    <w:rsid w:val="000827BD"/>
    <w:rsid w:val="00082C9E"/>
    <w:rsid w:val="00083840"/>
    <w:rsid w:val="00083E1E"/>
    <w:rsid w:val="00084243"/>
    <w:rsid w:val="00084254"/>
    <w:rsid w:val="000845D1"/>
    <w:rsid w:val="00084A2E"/>
    <w:rsid w:val="00084B71"/>
    <w:rsid w:val="00084FD5"/>
    <w:rsid w:val="0008581B"/>
    <w:rsid w:val="0008584D"/>
    <w:rsid w:val="00085AE9"/>
    <w:rsid w:val="0008695A"/>
    <w:rsid w:val="00086987"/>
    <w:rsid w:val="00086A8E"/>
    <w:rsid w:val="00086CB3"/>
    <w:rsid w:val="00086E9F"/>
    <w:rsid w:val="00086F4D"/>
    <w:rsid w:val="00087EC0"/>
    <w:rsid w:val="00090331"/>
    <w:rsid w:val="00090777"/>
    <w:rsid w:val="00090B6D"/>
    <w:rsid w:val="00091149"/>
    <w:rsid w:val="00091257"/>
    <w:rsid w:val="00091B03"/>
    <w:rsid w:val="00092624"/>
    <w:rsid w:val="00092EFA"/>
    <w:rsid w:val="0009431C"/>
    <w:rsid w:val="00094436"/>
    <w:rsid w:val="00094828"/>
    <w:rsid w:val="00094D6B"/>
    <w:rsid w:val="00095B23"/>
    <w:rsid w:val="00095E60"/>
    <w:rsid w:val="000975A1"/>
    <w:rsid w:val="00097FC2"/>
    <w:rsid w:val="000A124C"/>
    <w:rsid w:val="000A1F22"/>
    <w:rsid w:val="000A2447"/>
    <w:rsid w:val="000A25AB"/>
    <w:rsid w:val="000A27AC"/>
    <w:rsid w:val="000A2DF6"/>
    <w:rsid w:val="000A40E6"/>
    <w:rsid w:val="000A4EEF"/>
    <w:rsid w:val="000A5260"/>
    <w:rsid w:val="000A5648"/>
    <w:rsid w:val="000A6063"/>
    <w:rsid w:val="000A620C"/>
    <w:rsid w:val="000A6A04"/>
    <w:rsid w:val="000B0093"/>
    <w:rsid w:val="000B0F68"/>
    <w:rsid w:val="000B246A"/>
    <w:rsid w:val="000B2ADB"/>
    <w:rsid w:val="000B2C8D"/>
    <w:rsid w:val="000B396A"/>
    <w:rsid w:val="000B4116"/>
    <w:rsid w:val="000B4291"/>
    <w:rsid w:val="000B4852"/>
    <w:rsid w:val="000B529F"/>
    <w:rsid w:val="000B67B4"/>
    <w:rsid w:val="000B72F3"/>
    <w:rsid w:val="000B762C"/>
    <w:rsid w:val="000C0182"/>
    <w:rsid w:val="000C1276"/>
    <w:rsid w:val="000C18FC"/>
    <w:rsid w:val="000C1BBF"/>
    <w:rsid w:val="000C1F0F"/>
    <w:rsid w:val="000C2D63"/>
    <w:rsid w:val="000C3B40"/>
    <w:rsid w:val="000C487D"/>
    <w:rsid w:val="000C4BCB"/>
    <w:rsid w:val="000C4F0D"/>
    <w:rsid w:val="000C5120"/>
    <w:rsid w:val="000C6482"/>
    <w:rsid w:val="000C6E98"/>
    <w:rsid w:val="000C74A8"/>
    <w:rsid w:val="000D076E"/>
    <w:rsid w:val="000D18D2"/>
    <w:rsid w:val="000D2EA2"/>
    <w:rsid w:val="000D2F73"/>
    <w:rsid w:val="000D675F"/>
    <w:rsid w:val="000D68CC"/>
    <w:rsid w:val="000E16F5"/>
    <w:rsid w:val="000E228D"/>
    <w:rsid w:val="000E2413"/>
    <w:rsid w:val="000E2946"/>
    <w:rsid w:val="000E4628"/>
    <w:rsid w:val="000E52C1"/>
    <w:rsid w:val="000E55B0"/>
    <w:rsid w:val="000E5DC0"/>
    <w:rsid w:val="000E6DC5"/>
    <w:rsid w:val="000E6E9D"/>
    <w:rsid w:val="000E6FA4"/>
    <w:rsid w:val="000E74CA"/>
    <w:rsid w:val="000F0168"/>
    <w:rsid w:val="000F0A20"/>
    <w:rsid w:val="000F16E5"/>
    <w:rsid w:val="000F1FDA"/>
    <w:rsid w:val="000F218B"/>
    <w:rsid w:val="000F2369"/>
    <w:rsid w:val="000F23BF"/>
    <w:rsid w:val="000F2BDA"/>
    <w:rsid w:val="000F30C9"/>
    <w:rsid w:val="000F388B"/>
    <w:rsid w:val="000F431C"/>
    <w:rsid w:val="000F475E"/>
    <w:rsid w:val="000F47ED"/>
    <w:rsid w:val="000F4DE4"/>
    <w:rsid w:val="000F4F0D"/>
    <w:rsid w:val="000F578A"/>
    <w:rsid w:val="000F5AD5"/>
    <w:rsid w:val="000F7012"/>
    <w:rsid w:val="000F752E"/>
    <w:rsid w:val="001002F1"/>
    <w:rsid w:val="0010109C"/>
    <w:rsid w:val="00101449"/>
    <w:rsid w:val="00102261"/>
    <w:rsid w:val="00102458"/>
    <w:rsid w:val="00105CE6"/>
    <w:rsid w:val="00106554"/>
    <w:rsid w:val="0010715E"/>
    <w:rsid w:val="001071A5"/>
    <w:rsid w:val="001073F1"/>
    <w:rsid w:val="00110D7F"/>
    <w:rsid w:val="00110F74"/>
    <w:rsid w:val="001113EC"/>
    <w:rsid w:val="0011146F"/>
    <w:rsid w:val="00112730"/>
    <w:rsid w:val="001130EC"/>
    <w:rsid w:val="0011381E"/>
    <w:rsid w:val="00113F64"/>
    <w:rsid w:val="00114668"/>
    <w:rsid w:val="00115CE6"/>
    <w:rsid w:val="00116704"/>
    <w:rsid w:val="00116A8F"/>
    <w:rsid w:val="001177CE"/>
    <w:rsid w:val="001179B3"/>
    <w:rsid w:val="00120A21"/>
    <w:rsid w:val="001217E8"/>
    <w:rsid w:val="00122170"/>
    <w:rsid w:val="00122683"/>
    <w:rsid w:val="00123F7D"/>
    <w:rsid w:val="00124648"/>
    <w:rsid w:val="00124B62"/>
    <w:rsid w:val="00124ED3"/>
    <w:rsid w:val="001310C9"/>
    <w:rsid w:val="001310DC"/>
    <w:rsid w:val="0013173F"/>
    <w:rsid w:val="00131CB7"/>
    <w:rsid w:val="0013333E"/>
    <w:rsid w:val="00133944"/>
    <w:rsid w:val="00134240"/>
    <w:rsid w:val="001346BF"/>
    <w:rsid w:val="00134D19"/>
    <w:rsid w:val="0013504F"/>
    <w:rsid w:val="001353B8"/>
    <w:rsid w:val="00135828"/>
    <w:rsid w:val="00136180"/>
    <w:rsid w:val="001361BB"/>
    <w:rsid w:val="001374A1"/>
    <w:rsid w:val="00137E7D"/>
    <w:rsid w:val="00137F05"/>
    <w:rsid w:val="00140AAC"/>
    <w:rsid w:val="00141633"/>
    <w:rsid w:val="00142988"/>
    <w:rsid w:val="00142BEA"/>
    <w:rsid w:val="00142C74"/>
    <w:rsid w:val="00142F78"/>
    <w:rsid w:val="001445CC"/>
    <w:rsid w:val="001446E6"/>
    <w:rsid w:val="00144C66"/>
    <w:rsid w:val="001463E9"/>
    <w:rsid w:val="0014656A"/>
    <w:rsid w:val="001468DE"/>
    <w:rsid w:val="0014717E"/>
    <w:rsid w:val="00147199"/>
    <w:rsid w:val="00147673"/>
    <w:rsid w:val="00147706"/>
    <w:rsid w:val="00147789"/>
    <w:rsid w:val="00147BF8"/>
    <w:rsid w:val="00150107"/>
    <w:rsid w:val="00150113"/>
    <w:rsid w:val="001509D3"/>
    <w:rsid w:val="001537D0"/>
    <w:rsid w:val="00153ABB"/>
    <w:rsid w:val="00154790"/>
    <w:rsid w:val="00154CF2"/>
    <w:rsid w:val="00155304"/>
    <w:rsid w:val="00155BBF"/>
    <w:rsid w:val="001562C6"/>
    <w:rsid w:val="0015662A"/>
    <w:rsid w:val="00156C7F"/>
    <w:rsid w:val="00160087"/>
    <w:rsid w:val="00160C2D"/>
    <w:rsid w:val="00161682"/>
    <w:rsid w:val="00161D82"/>
    <w:rsid w:val="00162BB1"/>
    <w:rsid w:val="00162C82"/>
    <w:rsid w:val="00163299"/>
    <w:rsid w:val="00164310"/>
    <w:rsid w:val="00164EC5"/>
    <w:rsid w:val="0016594A"/>
    <w:rsid w:val="00165BC3"/>
    <w:rsid w:val="00170B56"/>
    <w:rsid w:val="001713F6"/>
    <w:rsid w:val="00172393"/>
    <w:rsid w:val="001723CE"/>
    <w:rsid w:val="001737CD"/>
    <w:rsid w:val="00173C34"/>
    <w:rsid w:val="00173DCE"/>
    <w:rsid w:val="00175DD5"/>
    <w:rsid w:val="00180158"/>
    <w:rsid w:val="00181359"/>
    <w:rsid w:val="00181916"/>
    <w:rsid w:val="00181C59"/>
    <w:rsid w:val="0018226B"/>
    <w:rsid w:val="0018370D"/>
    <w:rsid w:val="00183F70"/>
    <w:rsid w:val="00184B57"/>
    <w:rsid w:val="00184BE6"/>
    <w:rsid w:val="00184EDB"/>
    <w:rsid w:val="00186062"/>
    <w:rsid w:val="001871D6"/>
    <w:rsid w:val="00187DE2"/>
    <w:rsid w:val="00190C1D"/>
    <w:rsid w:val="00190E79"/>
    <w:rsid w:val="00192FDA"/>
    <w:rsid w:val="001936E5"/>
    <w:rsid w:val="00193A9C"/>
    <w:rsid w:val="00194246"/>
    <w:rsid w:val="00195172"/>
    <w:rsid w:val="001955F3"/>
    <w:rsid w:val="00195D9B"/>
    <w:rsid w:val="001964EA"/>
    <w:rsid w:val="00196706"/>
    <w:rsid w:val="001968E9"/>
    <w:rsid w:val="00196A9E"/>
    <w:rsid w:val="00197077"/>
    <w:rsid w:val="001975F2"/>
    <w:rsid w:val="001A0262"/>
    <w:rsid w:val="001A0346"/>
    <w:rsid w:val="001A03C2"/>
    <w:rsid w:val="001A0908"/>
    <w:rsid w:val="001A0A96"/>
    <w:rsid w:val="001A0B30"/>
    <w:rsid w:val="001A0D97"/>
    <w:rsid w:val="001A129C"/>
    <w:rsid w:val="001A1677"/>
    <w:rsid w:val="001A179D"/>
    <w:rsid w:val="001A2940"/>
    <w:rsid w:val="001A2A2A"/>
    <w:rsid w:val="001A3B94"/>
    <w:rsid w:val="001A412C"/>
    <w:rsid w:val="001A440D"/>
    <w:rsid w:val="001A47A6"/>
    <w:rsid w:val="001A572C"/>
    <w:rsid w:val="001A5B00"/>
    <w:rsid w:val="001A6E1B"/>
    <w:rsid w:val="001A7B25"/>
    <w:rsid w:val="001A7D12"/>
    <w:rsid w:val="001A7E46"/>
    <w:rsid w:val="001B0D22"/>
    <w:rsid w:val="001B0E94"/>
    <w:rsid w:val="001B2993"/>
    <w:rsid w:val="001B33E4"/>
    <w:rsid w:val="001B420C"/>
    <w:rsid w:val="001B5127"/>
    <w:rsid w:val="001B5FE1"/>
    <w:rsid w:val="001B61FC"/>
    <w:rsid w:val="001B7EFA"/>
    <w:rsid w:val="001C09DC"/>
    <w:rsid w:val="001C0A5A"/>
    <w:rsid w:val="001C0B48"/>
    <w:rsid w:val="001C0B9E"/>
    <w:rsid w:val="001C1451"/>
    <w:rsid w:val="001C1542"/>
    <w:rsid w:val="001C15A9"/>
    <w:rsid w:val="001C2303"/>
    <w:rsid w:val="001C2FD5"/>
    <w:rsid w:val="001C3356"/>
    <w:rsid w:val="001C3B07"/>
    <w:rsid w:val="001C3E14"/>
    <w:rsid w:val="001C5405"/>
    <w:rsid w:val="001C629E"/>
    <w:rsid w:val="001C7260"/>
    <w:rsid w:val="001D0F0E"/>
    <w:rsid w:val="001D205E"/>
    <w:rsid w:val="001D2BB8"/>
    <w:rsid w:val="001D2BE7"/>
    <w:rsid w:val="001D2BF4"/>
    <w:rsid w:val="001D3B21"/>
    <w:rsid w:val="001D3E7F"/>
    <w:rsid w:val="001D4A8B"/>
    <w:rsid w:val="001D56C2"/>
    <w:rsid w:val="001D687E"/>
    <w:rsid w:val="001D73B9"/>
    <w:rsid w:val="001D7C0F"/>
    <w:rsid w:val="001E114B"/>
    <w:rsid w:val="001E11A2"/>
    <w:rsid w:val="001E15D9"/>
    <w:rsid w:val="001E26D4"/>
    <w:rsid w:val="001E40D5"/>
    <w:rsid w:val="001E524E"/>
    <w:rsid w:val="001E5C46"/>
    <w:rsid w:val="001E622E"/>
    <w:rsid w:val="001E6863"/>
    <w:rsid w:val="001E6FFE"/>
    <w:rsid w:val="001E77B7"/>
    <w:rsid w:val="001F013C"/>
    <w:rsid w:val="001F0E08"/>
    <w:rsid w:val="001F10E3"/>
    <w:rsid w:val="001F1BBB"/>
    <w:rsid w:val="001F2D48"/>
    <w:rsid w:val="001F4FCB"/>
    <w:rsid w:val="001F5DC7"/>
    <w:rsid w:val="001F5F4B"/>
    <w:rsid w:val="001F667A"/>
    <w:rsid w:val="001F7742"/>
    <w:rsid w:val="001F7EDE"/>
    <w:rsid w:val="002006BF"/>
    <w:rsid w:val="00200C08"/>
    <w:rsid w:val="002015DF"/>
    <w:rsid w:val="00202BDF"/>
    <w:rsid w:val="00202E2D"/>
    <w:rsid w:val="002035C4"/>
    <w:rsid w:val="0020404A"/>
    <w:rsid w:val="00205252"/>
    <w:rsid w:val="00206B1B"/>
    <w:rsid w:val="002074EA"/>
    <w:rsid w:val="002077BE"/>
    <w:rsid w:val="002078A8"/>
    <w:rsid w:val="0020792D"/>
    <w:rsid w:val="00210131"/>
    <w:rsid w:val="0021023E"/>
    <w:rsid w:val="00211E81"/>
    <w:rsid w:val="00212C58"/>
    <w:rsid w:val="00213610"/>
    <w:rsid w:val="0021416E"/>
    <w:rsid w:val="002156CE"/>
    <w:rsid w:val="00215A63"/>
    <w:rsid w:val="00217752"/>
    <w:rsid w:val="00220550"/>
    <w:rsid w:val="00220D4D"/>
    <w:rsid w:val="00221535"/>
    <w:rsid w:val="002242D0"/>
    <w:rsid w:val="002246D9"/>
    <w:rsid w:val="0022476A"/>
    <w:rsid w:val="002249C9"/>
    <w:rsid w:val="002256B2"/>
    <w:rsid w:val="00225C65"/>
    <w:rsid w:val="00225DF3"/>
    <w:rsid w:val="0022644F"/>
    <w:rsid w:val="002267D8"/>
    <w:rsid w:val="00226A65"/>
    <w:rsid w:val="0022710E"/>
    <w:rsid w:val="00230CB5"/>
    <w:rsid w:val="00230EF6"/>
    <w:rsid w:val="002318FA"/>
    <w:rsid w:val="00231AF7"/>
    <w:rsid w:val="00231DCE"/>
    <w:rsid w:val="00232B0C"/>
    <w:rsid w:val="00233462"/>
    <w:rsid w:val="00233899"/>
    <w:rsid w:val="00233D75"/>
    <w:rsid w:val="00234C3C"/>
    <w:rsid w:val="00235615"/>
    <w:rsid w:val="00235AD1"/>
    <w:rsid w:val="00236135"/>
    <w:rsid w:val="002365A8"/>
    <w:rsid w:val="002368A8"/>
    <w:rsid w:val="00237204"/>
    <w:rsid w:val="002373C9"/>
    <w:rsid w:val="002409C3"/>
    <w:rsid w:val="002412F7"/>
    <w:rsid w:val="0024242A"/>
    <w:rsid w:val="002436DB"/>
    <w:rsid w:val="002437DB"/>
    <w:rsid w:val="00243ADB"/>
    <w:rsid w:val="00243F55"/>
    <w:rsid w:val="00244031"/>
    <w:rsid w:val="002447DA"/>
    <w:rsid w:val="00244DB8"/>
    <w:rsid w:val="002450DD"/>
    <w:rsid w:val="00245168"/>
    <w:rsid w:val="002452D7"/>
    <w:rsid w:val="002467D3"/>
    <w:rsid w:val="00246906"/>
    <w:rsid w:val="00247270"/>
    <w:rsid w:val="00247E0C"/>
    <w:rsid w:val="0025170D"/>
    <w:rsid w:val="0025197A"/>
    <w:rsid w:val="00252C52"/>
    <w:rsid w:val="00253681"/>
    <w:rsid w:val="00253F89"/>
    <w:rsid w:val="002545A3"/>
    <w:rsid w:val="002545FB"/>
    <w:rsid w:val="00254838"/>
    <w:rsid w:val="00254D26"/>
    <w:rsid w:val="00256402"/>
    <w:rsid w:val="0025684E"/>
    <w:rsid w:val="00257B32"/>
    <w:rsid w:val="00260511"/>
    <w:rsid w:val="002608EE"/>
    <w:rsid w:val="00260A23"/>
    <w:rsid w:val="00260C08"/>
    <w:rsid w:val="00260C79"/>
    <w:rsid w:val="002610A8"/>
    <w:rsid w:val="00261CF7"/>
    <w:rsid w:val="00262CA3"/>
    <w:rsid w:val="00262F7D"/>
    <w:rsid w:val="002636C5"/>
    <w:rsid w:val="00263E90"/>
    <w:rsid w:val="00263F20"/>
    <w:rsid w:val="00265335"/>
    <w:rsid w:val="002657FF"/>
    <w:rsid w:val="002658FF"/>
    <w:rsid w:val="00265A4E"/>
    <w:rsid w:val="00266D00"/>
    <w:rsid w:val="00266EB0"/>
    <w:rsid w:val="00267E20"/>
    <w:rsid w:val="002700B9"/>
    <w:rsid w:val="0027023E"/>
    <w:rsid w:val="00270334"/>
    <w:rsid w:val="0027091B"/>
    <w:rsid w:val="00270B7B"/>
    <w:rsid w:val="00270E8A"/>
    <w:rsid w:val="00271F48"/>
    <w:rsid w:val="00272632"/>
    <w:rsid w:val="00272655"/>
    <w:rsid w:val="00273384"/>
    <w:rsid w:val="002742F0"/>
    <w:rsid w:val="0027465E"/>
    <w:rsid w:val="00275735"/>
    <w:rsid w:val="00276B8E"/>
    <w:rsid w:val="00280AEC"/>
    <w:rsid w:val="00281B61"/>
    <w:rsid w:val="00281BFA"/>
    <w:rsid w:val="00282716"/>
    <w:rsid w:val="00282CD2"/>
    <w:rsid w:val="002841F4"/>
    <w:rsid w:val="0028646A"/>
    <w:rsid w:val="0028749B"/>
    <w:rsid w:val="00287A91"/>
    <w:rsid w:val="00287D65"/>
    <w:rsid w:val="00287E02"/>
    <w:rsid w:val="00290F73"/>
    <w:rsid w:val="00291561"/>
    <w:rsid w:val="00291DC3"/>
    <w:rsid w:val="00293808"/>
    <w:rsid w:val="00293D52"/>
    <w:rsid w:val="00295AC6"/>
    <w:rsid w:val="00295C65"/>
    <w:rsid w:val="002962E6"/>
    <w:rsid w:val="002964E1"/>
    <w:rsid w:val="00297173"/>
    <w:rsid w:val="0029731A"/>
    <w:rsid w:val="002A1559"/>
    <w:rsid w:val="002A16C2"/>
    <w:rsid w:val="002A1716"/>
    <w:rsid w:val="002A18FD"/>
    <w:rsid w:val="002A268C"/>
    <w:rsid w:val="002A37DD"/>
    <w:rsid w:val="002A3A4D"/>
    <w:rsid w:val="002A3E10"/>
    <w:rsid w:val="002A4AEA"/>
    <w:rsid w:val="002A4D8A"/>
    <w:rsid w:val="002A5151"/>
    <w:rsid w:val="002A5C6F"/>
    <w:rsid w:val="002A5CEF"/>
    <w:rsid w:val="002A6141"/>
    <w:rsid w:val="002B00D7"/>
    <w:rsid w:val="002B27AB"/>
    <w:rsid w:val="002B29B9"/>
    <w:rsid w:val="002B32C7"/>
    <w:rsid w:val="002B3539"/>
    <w:rsid w:val="002B408C"/>
    <w:rsid w:val="002B5652"/>
    <w:rsid w:val="002B57A7"/>
    <w:rsid w:val="002B59D9"/>
    <w:rsid w:val="002B6060"/>
    <w:rsid w:val="002B7B57"/>
    <w:rsid w:val="002C005C"/>
    <w:rsid w:val="002C0828"/>
    <w:rsid w:val="002C15FA"/>
    <w:rsid w:val="002C19CE"/>
    <w:rsid w:val="002C1FD6"/>
    <w:rsid w:val="002C241A"/>
    <w:rsid w:val="002C29C8"/>
    <w:rsid w:val="002C37A8"/>
    <w:rsid w:val="002C427D"/>
    <w:rsid w:val="002C4534"/>
    <w:rsid w:val="002C59B4"/>
    <w:rsid w:val="002C605A"/>
    <w:rsid w:val="002C74B1"/>
    <w:rsid w:val="002C784F"/>
    <w:rsid w:val="002D04A8"/>
    <w:rsid w:val="002D0E47"/>
    <w:rsid w:val="002D183C"/>
    <w:rsid w:val="002D199C"/>
    <w:rsid w:val="002D27F1"/>
    <w:rsid w:val="002D40F0"/>
    <w:rsid w:val="002D5C39"/>
    <w:rsid w:val="002D6B55"/>
    <w:rsid w:val="002E1256"/>
    <w:rsid w:val="002E1538"/>
    <w:rsid w:val="002E1F0F"/>
    <w:rsid w:val="002E2E9E"/>
    <w:rsid w:val="002E462A"/>
    <w:rsid w:val="002E4993"/>
    <w:rsid w:val="002E4ACC"/>
    <w:rsid w:val="002E4B62"/>
    <w:rsid w:val="002E582B"/>
    <w:rsid w:val="002E5DA8"/>
    <w:rsid w:val="002E6322"/>
    <w:rsid w:val="002E66B7"/>
    <w:rsid w:val="002E6978"/>
    <w:rsid w:val="002E78B4"/>
    <w:rsid w:val="002E7ED1"/>
    <w:rsid w:val="002F0105"/>
    <w:rsid w:val="002F104D"/>
    <w:rsid w:val="002F13FA"/>
    <w:rsid w:val="002F195B"/>
    <w:rsid w:val="002F1E25"/>
    <w:rsid w:val="002F2D49"/>
    <w:rsid w:val="002F2E74"/>
    <w:rsid w:val="002F31B0"/>
    <w:rsid w:val="002F3371"/>
    <w:rsid w:val="002F3A9A"/>
    <w:rsid w:val="002F41DB"/>
    <w:rsid w:val="002F56E0"/>
    <w:rsid w:val="002F5738"/>
    <w:rsid w:val="002F6F4C"/>
    <w:rsid w:val="002F70A6"/>
    <w:rsid w:val="002F7640"/>
    <w:rsid w:val="002F7BE3"/>
    <w:rsid w:val="00300486"/>
    <w:rsid w:val="0030099F"/>
    <w:rsid w:val="003009EA"/>
    <w:rsid w:val="0030163F"/>
    <w:rsid w:val="00302157"/>
    <w:rsid w:val="00302B02"/>
    <w:rsid w:val="00304315"/>
    <w:rsid w:val="00304A96"/>
    <w:rsid w:val="00305090"/>
    <w:rsid w:val="003058C4"/>
    <w:rsid w:val="00306311"/>
    <w:rsid w:val="00306623"/>
    <w:rsid w:val="00307AD5"/>
    <w:rsid w:val="00310320"/>
    <w:rsid w:val="003110B6"/>
    <w:rsid w:val="0031159B"/>
    <w:rsid w:val="0031166C"/>
    <w:rsid w:val="00311926"/>
    <w:rsid w:val="00311B05"/>
    <w:rsid w:val="00312740"/>
    <w:rsid w:val="00314619"/>
    <w:rsid w:val="00315092"/>
    <w:rsid w:val="003157DF"/>
    <w:rsid w:val="00316644"/>
    <w:rsid w:val="003166F9"/>
    <w:rsid w:val="00316FBB"/>
    <w:rsid w:val="00317365"/>
    <w:rsid w:val="00317CDA"/>
    <w:rsid w:val="00320A52"/>
    <w:rsid w:val="0032117B"/>
    <w:rsid w:val="00321B6D"/>
    <w:rsid w:val="00322281"/>
    <w:rsid w:val="00322CB2"/>
    <w:rsid w:val="0032434F"/>
    <w:rsid w:val="00324725"/>
    <w:rsid w:val="003261A8"/>
    <w:rsid w:val="00326BD1"/>
    <w:rsid w:val="0032764E"/>
    <w:rsid w:val="00331545"/>
    <w:rsid w:val="00332420"/>
    <w:rsid w:val="003326CD"/>
    <w:rsid w:val="00332E4C"/>
    <w:rsid w:val="00333756"/>
    <w:rsid w:val="003347B2"/>
    <w:rsid w:val="003349EE"/>
    <w:rsid w:val="00334F56"/>
    <w:rsid w:val="0033552D"/>
    <w:rsid w:val="003367C5"/>
    <w:rsid w:val="003368F8"/>
    <w:rsid w:val="00337340"/>
    <w:rsid w:val="003377C8"/>
    <w:rsid w:val="0033782A"/>
    <w:rsid w:val="00337970"/>
    <w:rsid w:val="00337AE0"/>
    <w:rsid w:val="00342521"/>
    <w:rsid w:val="0034406B"/>
    <w:rsid w:val="00344301"/>
    <w:rsid w:val="003453A9"/>
    <w:rsid w:val="00347000"/>
    <w:rsid w:val="00350401"/>
    <w:rsid w:val="00351009"/>
    <w:rsid w:val="00351495"/>
    <w:rsid w:val="00351522"/>
    <w:rsid w:val="0035212C"/>
    <w:rsid w:val="003523A7"/>
    <w:rsid w:val="00353A93"/>
    <w:rsid w:val="00353CA3"/>
    <w:rsid w:val="003543E3"/>
    <w:rsid w:val="003549F4"/>
    <w:rsid w:val="003551F2"/>
    <w:rsid w:val="00355F7B"/>
    <w:rsid w:val="003560E7"/>
    <w:rsid w:val="003568FC"/>
    <w:rsid w:val="00356ADB"/>
    <w:rsid w:val="003573D1"/>
    <w:rsid w:val="00360FCE"/>
    <w:rsid w:val="003612B0"/>
    <w:rsid w:val="00362B7B"/>
    <w:rsid w:val="003649A8"/>
    <w:rsid w:val="00365F0E"/>
    <w:rsid w:val="00366F0E"/>
    <w:rsid w:val="003674DB"/>
    <w:rsid w:val="00367D9C"/>
    <w:rsid w:val="00367DB5"/>
    <w:rsid w:val="00370012"/>
    <w:rsid w:val="00372107"/>
    <w:rsid w:val="00372B2B"/>
    <w:rsid w:val="00372F80"/>
    <w:rsid w:val="00373A64"/>
    <w:rsid w:val="00374CC0"/>
    <w:rsid w:val="00374E18"/>
    <w:rsid w:val="00375BD8"/>
    <w:rsid w:val="00375D2A"/>
    <w:rsid w:val="0038098F"/>
    <w:rsid w:val="00380B34"/>
    <w:rsid w:val="0038100D"/>
    <w:rsid w:val="00381556"/>
    <w:rsid w:val="00381731"/>
    <w:rsid w:val="00382D3F"/>
    <w:rsid w:val="003832AB"/>
    <w:rsid w:val="003847FB"/>
    <w:rsid w:val="0038520E"/>
    <w:rsid w:val="0038645B"/>
    <w:rsid w:val="00386991"/>
    <w:rsid w:val="00386A84"/>
    <w:rsid w:val="00386E11"/>
    <w:rsid w:val="00386FE3"/>
    <w:rsid w:val="0038720E"/>
    <w:rsid w:val="00387D19"/>
    <w:rsid w:val="00390267"/>
    <w:rsid w:val="003907F8"/>
    <w:rsid w:val="003914B2"/>
    <w:rsid w:val="00391C6F"/>
    <w:rsid w:val="00393DF9"/>
    <w:rsid w:val="00393E8C"/>
    <w:rsid w:val="003946DE"/>
    <w:rsid w:val="00394A94"/>
    <w:rsid w:val="00394B88"/>
    <w:rsid w:val="00394F4C"/>
    <w:rsid w:val="0039579A"/>
    <w:rsid w:val="00396AFA"/>
    <w:rsid w:val="0039710C"/>
    <w:rsid w:val="003974B9"/>
    <w:rsid w:val="0039767A"/>
    <w:rsid w:val="003A01C9"/>
    <w:rsid w:val="003A25A2"/>
    <w:rsid w:val="003A3244"/>
    <w:rsid w:val="003A3281"/>
    <w:rsid w:val="003A3397"/>
    <w:rsid w:val="003A341B"/>
    <w:rsid w:val="003A472D"/>
    <w:rsid w:val="003A63D3"/>
    <w:rsid w:val="003A6651"/>
    <w:rsid w:val="003A76B1"/>
    <w:rsid w:val="003A789C"/>
    <w:rsid w:val="003B014A"/>
    <w:rsid w:val="003B02DC"/>
    <w:rsid w:val="003B0366"/>
    <w:rsid w:val="003B1AEC"/>
    <w:rsid w:val="003B2807"/>
    <w:rsid w:val="003B2FB6"/>
    <w:rsid w:val="003B32EC"/>
    <w:rsid w:val="003B3433"/>
    <w:rsid w:val="003B3704"/>
    <w:rsid w:val="003B41FB"/>
    <w:rsid w:val="003B46F0"/>
    <w:rsid w:val="003B6D52"/>
    <w:rsid w:val="003B74E0"/>
    <w:rsid w:val="003B7564"/>
    <w:rsid w:val="003C037E"/>
    <w:rsid w:val="003C0911"/>
    <w:rsid w:val="003C0A41"/>
    <w:rsid w:val="003C1A85"/>
    <w:rsid w:val="003C2E3B"/>
    <w:rsid w:val="003C326B"/>
    <w:rsid w:val="003C3383"/>
    <w:rsid w:val="003C362A"/>
    <w:rsid w:val="003C3CFC"/>
    <w:rsid w:val="003C3EDD"/>
    <w:rsid w:val="003C44F1"/>
    <w:rsid w:val="003C4CD5"/>
    <w:rsid w:val="003C501B"/>
    <w:rsid w:val="003C657A"/>
    <w:rsid w:val="003C6834"/>
    <w:rsid w:val="003C6839"/>
    <w:rsid w:val="003C6E47"/>
    <w:rsid w:val="003D20C7"/>
    <w:rsid w:val="003D2134"/>
    <w:rsid w:val="003D2E36"/>
    <w:rsid w:val="003D3B32"/>
    <w:rsid w:val="003D4027"/>
    <w:rsid w:val="003D40AF"/>
    <w:rsid w:val="003E051D"/>
    <w:rsid w:val="003E0F9F"/>
    <w:rsid w:val="003E18CE"/>
    <w:rsid w:val="003E19FC"/>
    <w:rsid w:val="003E1DF7"/>
    <w:rsid w:val="003E2566"/>
    <w:rsid w:val="003E26F1"/>
    <w:rsid w:val="003E30AE"/>
    <w:rsid w:val="003E3EC9"/>
    <w:rsid w:val="003E4396"/>
    <w:rsid w:val="003E4888"/>
    <w:rsid w:val="003E6A5A"/>
    <w:rsid w:val="003E6B73"/>
    <w:rsid w:val="003E6BF3"/>
    <w:rsid w:val="003E6E9C"/>
    <w:rsid w:val="003E78CF"/>
    <w:rsid w:val="003F20CF"/>
    <w:rsid w:val="003F3F7A"/>
    <w:rsid w:val="003F60A0"/>
    <w:rsid w:val="003F6CF2"/>
    <w:rsid w:val="003F7491"/>
    <w:rsid w:val="003F7A4E"/>
    <w:rsid w:val="0040099A"/>
    <w:rsid w:val="00401193"/>
    <w:rsid w:val="0040129A"/>
    <w:rsid w:val="00401938"/>
    <w:rsid w:val="00401A4A"/>
    <w:rsid w:val="00401C39"/>
    <w:rsid w:val="00402154"/>
    <w:rsid w:val="0040312F"/>
    <w:rsid w:val="00403F2E"/>
    <w:rsid w:val="00404274"/>
    <w:rsid w:val="00404588"/>
    <w:rsid w:val="004047C6"/>
    <w:rsid w:val="00404EDF"/>
    <w:rsid w:val="004056C3"/>
    <w:rsid w:val="00407475"/>
    <w:rsid w:val="004077FA"/>
    <w:rsid w:val="00410A31"/>
    <w:rsid w:val="00410D89"/>
    <w:rsid w:val="00410E85"/>
    <w:rsid w:val="004122DC"/>
    <w:rsid w:val="004124FB"/>
    <w:rsid w:val="00412CE8"/>
    <w:rsid w:val="00413237"/>
    <w:rsid w:val="004145E9"/>
    <w:rsid w:val="00414A53"/>
    <w:rsid w:val="00414A9B"/>
    <w:rsid w:val="00414DEB"/>
    <w:rsid w:val="004151C8"/>
    <w:rsid w:val="00416B77"/>
    <w:rsid w:val="00417230"/>
    <w:rsid w:val="00417BE0"/>
    <w:rsid w:val="00420656"/>
    <w:rsid w:val="00420A22"/>
    <w:rsid w:val="0042344C"/>
    <w:rsid w:val="004237DA"/>
    <w:rsid w:val="00423CFD"/>
    <w:rsid w:val="00423DB3"/>
    <w:rsid w:val="00423E85"/>
    <w:rsid w:val="004242E0"/>
    <w:rsid w:val="00424AF7"/>
    <w:rsid w:val="00424CC6"/>
    <w:rsid w:val="0042508E"/>
    <w:rsid w:val="00425113"/>
    <w:rsid w:val="004252C6"/>
    <w:rsid w:val="004257F0"/>
    <w:rsid w:val="004260AA"/>
    <w:rsid w:val="004267D7"/>
    <w:rsid w:val="00426C7F"/>
    <w:rsid w:val="004279A9"/>
    <w:rsid w:val="004307B7"/>
    <w:rsid w:val="004308B2"/>
    <w:rsid w:val="00431622"/>
    <w:rsid w:val="0043212F"/>
    <w:rsid w:val="00432D68"/>
    <w:rsid w:val="00433054"/>
    <w:rsid w:val="004333C8"/>
    <w:rsid w:val="0043468D"/>
    <w:rsid w:val="00434C0D"/>
    <w:rsid w:val="00434F65"/>
    <w:rsid w:val="004358A0"/>
    <w:rsid w:val="00435A68"/>
    <w:rsid w:val="00435F61"/>
    <w:rsid w:val="00436A08"/>
    <w:rsid w:val="00436E81"/>
    <w:rsid w:val="004376CD"/>
    <w:rsid w:val="00437C78"/>
    <w:rsid w:val="00440B8E"/>
    <w:rsid w:val="00441079"/>
    <w:rsid w:val="00441A7F"/>
    <w:rsid w:val="00441F62"/>
    <w:rsid w:val="0044203F"/>
    <w:rsid w:val="00442075"/>
    <w:rsid w:val="004431BC"/>
    <w:rsid w:val="00443394"/>
    <w:rsid w:val="00444D28"/>
    <w:rsid w:val="00445915"/>
    <w:rsid w:val="00445B06"/>
    <w:rsid w:val="00446921"/>
    <w:rsid w:val="0045059B"/>
    <w:rsid w:val="0045064F"/>
    <w:rsid w:val="00451ABF"/>
    <w:rsid w:val="004528EF"/>
    <w:rsid w:val="004536CF"/>
    <w:rsid w:val="00455C68"/>
    <w:rsid w:val="00455D3E"/>
    <w:rsid w:val="00457122"/>
    <w:rsid w:val="004575D3"/>
    <w:rsid w:val="00457E5A"/>
    <w:rsid w:val="00460171"/>
    <w:rsid w:val="00461348"/>
    <w:rsid w:val="00461492"/>
    <w:rsid w:val="004619F4"/>
    <w:rsid w:val="00461CB9"/>
    <w:rsid w:val="00462608"/>
    <w:rsid w:val="00462D9F"/>
    <w:rsid w:val="00463B01"/>
    <w:rsid w:val="004644EA"/>
    <w:rsid w:val="004654AF"/>
    <w:rsid w:val="00465626"/>
    <w:rsid w:val="004659BA"/>
    <w:rsid w:val="00466212"/>
    <w:rsid w:val="00466E3C"/>
    <w:rsid w:val="00467E5A"/>
    <w:rsid w:val="00467F49"/>
    <w:rsid w:val="00471CA3"/>
    <w:rsid w:val="00472413"/>
    <w:rsid w:val="0047250E"/>
    <w:rsid w:val="00473B32"/>
    <w:rsid w:val="004741DB"/>
    <w:rsid w:val="00474E8E"/>
    <w:rsid w:val="00474FF5"/>
    <w:rsid w:val="004767BA"/>
    <w:rsid w:val="004770D0"/>
    <w:rsid w:val="00477101"/>
    <w:rsid w:val="00480071"/>
    <w:rsid w:val="004806DD"/>
    <w:rsid w:val="004812E6"/>
    <w:rsid w:val="004818C0"/>
    <w:rsid w:val="00483CA4"/>
    <w:rsid w:val="00485272"/>
    <w:rsid w:val="00485934"/>
    <w:rsid w:val="00486868"/>
    <w:rsid w:val="004869A2"/>
    <w:rsid w:val="004869C4"/>
    <w:rsid w:val="00486A7B"/>
    <w:rsid w:val="00487DC9"/>
    <w:rsid w:val="00487FEF"/>
    <w:rsid w:val="00490464"/>
    <w:rsid w:val="00493B3E"/>
    <w:rsid w:val="004949D0"/>
    <w:rsid w:val="00496825"/>
    <w:rsid w:val="00496EF5"/>
    <w:rsid w:val="00497079"/>
    <w:rsid w:val="00497AC0"/>
    <w:rsid w:val="004A158C"/>
    <w:rsid w:val="004A209C"/>
    <w:rsid w:val="004A265B"/>
    <w:rsid w:val="004A28A8"/>
    <w:rsid w:val="004A3825"/>
    <w:rsid w:val="004A3D83"/>
    <w:rsid w:val="004A3E3D"/>
    <w:rsid w:val="004A415C"/>
    <w:rsid w:val="004A439C"/>
    <w:rsid w:val="004A4D12"/>
    <w:rsid w:val="004A5983"/>
    <w:rsid w:val="004A5F28"/>
    <w:rsid w:val="004A67D1"/>
    <w:rsid w:val="004A7AF9"/>
    <w:rsid w:val="004A7AFB"/>
    <w:rsid w:val="004B189A"/>
    <w:rsid w:val="004B19F5"/>
    <w:rsid w:val="004B1A12"/>
    <w:rsid w:val="004B38B1"/>
    <w:rsid w:val="004B3996"/>
    <w:rsid w:val="004B41D0"/>
    <w:rsid w:val="004B458D"/>
    <w:rsid w:val="004B4773"/>
    <w:rsid w:val="004B4BF9"/>
    <w:rsid w:val="004B4D6A"/>
    <w:rsid w:val="004B53C0"/>
    <w:rsid w:val="004B5860"/>
    <w:rsid w:val="004B59F2"/>
    <w:rsid w:val="004B5D51"/>
    <w:rsid w:val="004B5FF0"/>
    <w:rsid w:val="004B6613"/>
    <w:rsid w:val="004B6EC5"/>
    <w:rsid w:val="004B72ED"/>
    <w:rsid w:val="004B75A9"/>
    <w:rsid w:val="004B7AF6"/>
    <w:rsid w:val="004B7B5E"/>
    <w:rsid w:val="004C08D3"/>
    <w:rsid w:val="004C0EAB"/>
    <w:rsid w:val="004C142D"/>
    <w:rsid w:val="004C151F"/>
    <w:rsid w:val="004C20B6"/>
    <w:rsid w:val="004C2E4C"/>
    <w:rsid w:val="004C2E58"/>
    <w:rsid w:val="004C3077"/>
    <w:rsid w:val="004C3891"/>
    <w:rsid w:val="004C4394"/>
    <w:rsid w:val="004C520A"/>
    <w:rsid w:val="004C626C"/>
    <w:rsid w:val="004C75A4"/>
    <w:rsid w:val="004C7A39"/>
    <w:rsid w:val="004C7AAF"/>
    <w:rsid w:val="004D046F"/>
    <w:rsid w:val="004D2246"/>
    <w:rsid w:val="004D2301"/>
    <w:rsid w:val="004D23EE"/>
    <w:rsid w:val="004D268C"/>
    <w:rsid w:val="004D3817"/>
    <w:rsid w:val="004D39FB"/>
    <w:rsid w:val="004D4203"/>
    <w:rsid w:val="004D54BF"/>
    <w:rsid w:val="004D5514"/>
    <w:rsid w:val="004D6078"/>
    <w:rsid w:val="004D666D"/>
    <w:rsid w:val="004D73A6"/>
    <w:rsid w:val="004E0274"/>
    <w:rsid w:val="004E09DC"/>
    <w:rsid w:val="004E21F9"/>
    <w:rsid w:val="004E2A46"/>
    <w:rsid w:val="004E32DF"/>
    <w:rsid w:val="004E3496"/>
    <w:rsid w:val="004E3DCE"/>
    <w:rsid w:val="004E4AC2"/>
    <w:rsid w:val="004E4F16"/>
    <w:rsid w:val="004E565B"/>
    <w:rsid w:val="004E5B70"/>
    <w:rsid w:val="004E6953"/>
    <w:rsid w:val="004E755E"/>
    <w:rsid w:val="004E7A90"/>
    <w:rsid w:val="004F17EF"/>
    <w:rsid w:val="004F2EE2"/>
    <w:rsid w:val="004F31CA"/>
    <w:rsid w:val="004F38CA"/>
    <w:rsid w:val="004F3902"/>
    <w:rsid w:val="004F3EBC"/>
    <w:rsid w:val="004F4D02"/>
    <w:rsid w:val="004F5EAE"/>
    <w:rsid w:val="004F5EE1"/>
    <w:rsid w:val="004F6AE6"/>
    <w:rsid w:val="004F78DF"/>
    <w:rsid w:val="004F7BAC"/>
    <w:rsid w:val="0050053F"/>
    <w:rsid w:val="005006AC"/>
    <w:rsid w:val="005016F0"/>
    <w:rsid w:val="00501808"/>
    <w:rsid w:val="0050292A"/>
    <w:rsid w:val="00503273"/>
    <w:rsid w:val="0050327A"/>
    <w:rsid w:val="00504A3A"/>
    <w:rsid w:val="00504A50"/>
    <w:rsid w:val="00506301"/>
    <w:rsid w:val="0050677E"/>
    <w:rsid w:val="00506C66"/>
    <w:rsid w:val="00507D3C"/>
    <w:rsid w:val="00507FE2"/>
    <w:rsid w:val="0051084F"/>
    <w:rsid w:val="005119AB"/>
    <w:rsid w:val="00511F35"/>
    <w:rsid w:val="0051226E"/>
    <w:rsid w:val="00512ADA"/>
    <w:rsid w:val="00512CDA"/>
    <w:rsid w:val="005143F7"/>
    <w:rsid w:val="005143FD"/>
    <w:rsid w:val="0051453C"/>
    <w:rsid w:val="00515AEA"/>
    <w:rsid w:val="00515E1D"/>
    <w:rsid w:val="005163EE"/>
    <w:rsid w:val="00516CAD"/>
    <w:rsid w:val="00517439"/>
    <w:rsid w:val="00517671"/>
    <w:rsid w:val="005178BB"/>
    <w:rsid w:val="00517BDC"/>
    <w:rsid w:val="00520AEB"/>
    <w:rsid w:val="00520B71"/>
    <w:rsid w:val="00521457"/>
    <w:rsid w:val="00523E6D"/>
    <w:rsid w:val="0052779E"/>
    <w:rsid w:val="0053121D"/>
    <w:rsid w:val="00532884"/>
    <w:rsid w:val="00532DFE"/>
    <w:rsid w:val="00533B92"/>
    <w:rsid w:val="00534B73"/>
    <w:rsid w:val="00535593"/>
    <w:rsid w:val="00535DCC"/>
    <w:rsid w:val="0053615B"/>
    <w:rsid w:val="0053625C"/>
    <w:rsid w:val="00536291"/>
    <w:rsid w:val="005362BA"/>
    <w:rsid w:val="005375FF"/>
    <w:rsid w:val="0054134A"/>
    <w:rsid w:val="00541AE0"/>
    <w:rsid w:val="00541CB1"/>
    <w:rsid w:val="00541DDB"/>
    <w:rsid w:val="00541EC7"/>
    <w:rsid w:val="005421E8"/>
    <w:rsid w:val="005422CC"/>
    <w:rsid w:val="005434D6"/>
    <w:rsid w:val="00543734"/>
    <w:rsid w:val="00544114"/>
    <w:rsid w:val="00544861"/>
    <w:rsid w:val="00544D36"/>
    <w:rsid w:val="00545356"/>
    <w:rsid w:val="00546386"/>
    <w:rsid w:val="005467F8"/>
    <w:rsid w:val="00546A78"/>
    <w:rsid w:val="00546D76"/>
    <w:rsid w:val="00547A36"/>
    <w:rsid w:val="00547B3E"/>
    <w:rsid w:val="00547CBD"/>
    <w:rsid w:val="00547DC1"/>
    <w:rsid w:val="00550623"/>
    <w:rsid w:val="0055123B"/>
    <w:rsid w:val="0055159D"/>
    <w:rsid w:val="00551A14"/>
    <w:rsid w:val="0055253B"/>
    <w:rsid w:val="005525E1"/>
    <w:rsid w:val="00552A52"/>
    <w:rsid w:val="00553151"/>
    <w:rsid w:val="00553DA1"/>
    <w:rsid w:val="005542DB"/>
    <w:rsid w:val="005558A2"/>
    <w:rsid w:val="00555D2E"/>
    <w:rsid w:val="005561D5"/>
    <w:rsid w:val="00557324"/>
    <w:rsid w:val="005579BD"/>
    <w:rsid w:val="00560AAD"/>
    <w:rsid w:val="0056219C"/>
    <w:rsid w:val="005623D8"/>
    <w:rsid w:val="005632CD"/>
    <w:rsid w:val="00564FFB"/>
    <w:rsid w:val="005651FA"/>
    <w:rsid w:val="0056638D"/>
    <w:rsid w:val="00566F59"/>
    <w:rsid w:val="0056712A"/>
    <w:rsid w:val="005674C0"/>
    <w:rsid w:val="00570672"/>
    <w:rsid w:val="00570A79"/>
    <w:rsid w:val="00570C9B"/>
    <w:rsid w:val="00571118"/>
    <w:rsid w:val="005727B3"/>
    <w:rsid w:val="00572EFB"/>
    <w:rsid w:val="005749AE"/>
    <w:rsid w:val="00575733"/>
    <w:rsid w:val="00580C62"/>
    <w:rsid w:val="0058113E"/>
    <w:rsid w:val="00581E71"/>
    <w:rsid w:val="00582EC0"/>
    <w:rsid w:val="005838FD"/>
    <w:rsid w:val="00583DBA"/>
    <w:rsid w:val="005840C7"/>
    <w:rsid w:val="00584A0A"/>
    <w:rsid w:val="00584F89"/>
    <w:rsid w:val="005862CF"/>
    <w:rsid w:val="00586586"/>
    <w:rsid w:val="0058703D"/>
    <w:rsid w:val="0058753A"/>
    <w:rsid w:val="005879D0"/>
    <w:rsid w:val="00587A20"/>
    <w:rsid w:val="00587CB3"/>
    <w:rsid w:val="00587CB7"/>
    <w:rsid w:val="00590162"/>
    <w:rsid w:val="00590417"/>
    <w:rsid w:val="00592322"/>
    <w:rsid w:val="00592EAF"/>
    <w:rsid w:val="005933D1"/>
    <w:rsid w:val="005956D7"/>
    <w:rsid w:val="00596C1A"/>
    <w:rsid w:val="00597648"/>
    <w:rsid w:val="00597B08"/>
    <w:rsid w:val="00597CB1"/>
    <w:rsid w:val="005A025E"/>
    <w:rsid w:val="005A0EE1"/>
    <w:rsid w:val="005A1090"/>
    <w:rsid w:val="005A15A2"/>
    <w:rsid w:val="005A1A1C"/>
    <w:rsid w:val="005A1ACC"/>
    <w:rsid w:val="005A1D80"/>
    <w:rsid w:val="005A2664"/>
    <w:rsid w:val="005A2813"/>
    <w:rsid w:val="005A3B18"/>
    <w:rsid w:val="005A4731"/>
    <w:rsid w:val="005A5869"/>
    <w:rsid w:val="005A5E96"/>
    <w:rsid w:val="005A61AD"/>
    <w:rsid w:val="005A7229"/>
    <w:rsid w:val="005B0235"/>
    <w:rsid w:val="005B0C53"/>
    <w:rsid w:val="005B16C8"/>
    <w:rsid w:val="005B21C9"/>
    <w:rsid w:val="005B22BE"/>
    <w:rsid w:val="005B2CDA"/>
    <w:rsid w:val="005B4FAA"/>
    <w:rsid w:val="005B767E"/>
    <w:rsid w:val="005B7789"/>
    <w:rsid w:val="005B7A28"/>
    <w:rsid w:val="005C0872"/>
    <w:rsid w:val="005C18C1"/>
    <w:rsid w:val="005C1D42"/>
    <w:rsid w:val="005C231A"/>
    <w:rsid w:val="005C290D"/>
    <w:rsid w:val="005C47B3"/>
    <w:rsid w:val="005C72ED"/>
    <w:rsid w:val="005C74EE"/>
    <w:rsid w:val="005C7753"/>
    <w:rsid w:val="005D1D16"/>
    <w:rsid w:val="005D208A"/>
    <w:rsid w:val="005D2A09"/>
    <w:rsid w:val="005D31B1"/>
    <w:rsid w:val="005D4311"/>
    <w:rsid w:val="005D434C"/>
    <w:rsid w:val="005D46BF"/>
    <w:rsid w:val="005D46F7"/>
    <w:rsid w:val="005D4765"/>
    <w:rsid w:val="005D4965"/>
    <w:rsid w:val="005D528F"/>
    <w:rsid w:val="005D52CC"/>
    <w:rsid w:val="005D52F8"/>
    <w:rsid w:val="005D6E0F"/>
    <w:rsid w:val="005D6F0B"/>
    <w:rsid w:val="005D78C2"/>
    <w:rsid w:val="005E1266"/>
    <w:rsid w:val="005E1583"/>
    <w:rsid w:val="005E2A0C"/>
    <w:rsid w:val="005E2A47"/>
    <w:rsid w:val="005E430C"/>
    <w:rsid w:val="005E50E7"/>
    <w:rsid w:val="005E536F"/>
    <w:rsid w:val="005E5A98"/>
    <w:rsid w:val="005E710C"/>
    <w:rsid w:val="005E7B4B"/>
    <w:rsid w:val="005F0468"/>
    <w:rsid w:val="005F049B"/>
    <w:rsid w:val="005F062B"/>
    <w:rsid w:val="005F128C"/>
    <w:rsid w:val="005F4649"/>
    <w:rsid w:val="005F4D66"/>
    <w:rsid w:val="005F5302"/>
    <w:rsid w:val="005F5550"/>
    <w:rsid w:val="005F59C2"/>
    <w:rsid w:val="005F59FC"/>
    <w:rsid w:val="005F5FBE"/>
    <w:rsid w:val="005F613B"/>
    <w:rsid w:val="005F633A"/>
    <w:rsid w:val="005F64BB"/>
    <w:rsid w:val="005F6D4A"/>
    <w:rsid w:val="005F778F"/>
    <w:rsid w:val="00600BEF"/>
    <w:rsid w:val="0060136A"/>
    <w:rsid w:val="0060152F"/>
    <w:rsid w:val="00601939"/>
    <w:rsid w:val="00602290"/>
    <w:rsid w:val="0060246D"/>
    <w:rsid w:val="006028BF"/>
    <w:rsid w:val="006029FF"/>
    <w:rsid w:val="00603AFA"/>
    <w:rsid w:val="00603CFD"/>
    <w:rsid w:val="00604F32"/>
    <w:rsid w:val="00605576"/>
    <w:rsid w:val="00606264"/>
    <w:rsid w:val="006070FA"/>
    <w:rsid w:val="00607843"/>
    <w:rsid w:val="00610CD6"/>
    <w:rsid w:val="00611983"/>
    <w:rsid w:val="00611D6C"/>
    <w:rsid w:val="006125B6"/>
    <w:rsid w:val="0061300F"/>
    <w:rsid w:val="0061352B"/>
    <w:rsid w:val="00614099"/>
    <w:rsid w:val="00614AC9"/>
    <w:rsid w:val="00614BA1"/>
    <w:rsid w:val="00614D17"/>
    <w:rsid w:val="00615485"/>
    <w:rsid w:val="00615C1E"/>
    <w:rsid w:val="00615F29"/>
    <w:rsid w:val="0061645F"/>
    <w:rsid w:val="00617430"/>
    <w:rsid w:val="006174D7"/>
    <w:rsid w:val="006201C3"/>
    <w:rsid w:val="00620E57"/>
    <w:rsid w:val="0062122B"/>
    <w:rsid w:val="00622D02"/>
    <w:rsid w:val="00623D0E"/>
    <w:rsid w:val="00624BC7"/>
    <w:rsid w:val="00624C1D"/>
    <w:rsid w:val="00624C22"/>
    <w:rsid w:val="00624ED9"/>
    <w:rsid w:val="006250CB"/>
    <w:rsid w:val="006257B7"/>
    <w:rsid w:val="0062633A"/>
    <w:rsid w:val="00627320"/>
    <w:rsid w:val="00627DE8"/>
    <w:rsid w:val="00630171"/>
    <w:rsid w:val="0063065E"/>
    <w:rsid w:val="0063162C"/>
    <w:rsid w:val="00631F14"/>
    <w:rsid w:val="006327E6"/>
    <w:rsid w:val="00632B10"/>
    <w:rsid w:val="006332ED"/>
    <w:rsid w:val="00634124"/>
    <w:rsid w:val="00634DF0"/>
    <w:rsid w:val="00635068"/>
    <w:rsid w:val="00636B47"/>
    <w:rsid w:val="00636F8A"/>
    <w:rsid w:val="00636FBC"/>
    <w:rsid w:val="00640C8C"/>
    <w:rsid w:val="006413AC"/>
    <w:rsid w:val="00641758"/>
    <w:rsid w:val="0064235F"/>
    <w:rsid w:val="006429BC"/>
    <w:rsid w:val="00642FE9"/>
    <w:rsid w:val="00643AD0"/>
    <w:rsid w:val="00643E21"/>
    <w:rsid w:val="00644C68"/>
    <w:rsid w:val="006454AC"/>
    <w:rsid w:val="00645838"/>
    <w:rsid w:val="00647867"/>
    <w:rsid w:val="006478DE"/>
    <w:rsid w:val="00647D8D"/>
    <w:rsid w:val="006504E6"/>
    <w:rsid w:val="006504F8"/>
    <w:rsid w:val="0065087A"/>
    <w:rsid w:val="006517A6"/>
    <w:rsid w:val="00652279"/>
    <w:rsid w:val="00652E52"/>
    <w:rsid w:val="00653190"/>
    <w:rsid w:val="00655A5A"/>
    <w:rsid w:val="00655C96"/>
    <w:rsid w:val="00660251"/>
    <w:rsid w:val="00660A7C"/>
    <w:rsid w:val="006616A5"/>
    <w:rsid w:val="00661847"/>
    <w:rsid w:val="006618C1"/>
    <w:rsid w:val="0066279E"/>
    <w:rsid w:val="00662F81"/>
    <w:rsid w:val="00663149"/>
    <w:rsid w:val="00663478"/>
    <w:rsid w:val="00664321"/>
    <w:rsid w:val="00664B9D"/>
    <w:rsid w:val="00665FAD"/>
    <w:rsid w:val="00666DB8"/>
    <w:rsid w:val="00666E15"/>
    <w:rsid w:val="00667250"/>
    <w:rsid w:val="00667BC5"/>
    <w:rsid w:val="00667D5F"/>
    <w:rsid w:val="0067002E"/>
    <w:rsid w:val="00670808"/>
    <w:rsid w:val="00670B56"/>
    <w:rsid w:val="00670EE8"/>
    <w:rsid w:val="00671319"/>
    <w:rsid w:val="0067186D"/>
    <w:rsid w:val="0067192C"/>
    <w:rsid w:val="006734FC"/>
    <w:rsid w:val="00673573"/>
    <w:rsid w:val="006742CE"/>
    <w:rsid w:val="00674D68"/>
    <w:rsid w:val="0067510B"/>
    <w:rsid w:val="006757C3"/>
    <w:rsid w:val="0067699C"/>
    <w:rsid w:val="006773AD"/>
    <w:rsid w:val="0067772B"/>
    <w:rsid w:val="00680C5A"/>
    <w:rsid w:val="00680EA7"/>
    <w:rsid w:val="00682428"/>
    <w:rsid w:val="006827AE"/>
    <w:rsid w:val="00682876"/>
    <w:rsid w:val="00683145"/>
    <w:rsid w:val="006832F4"/>
    <w:rsid w:val="0068369B"/>
    <w:rsid w:val="00683F67"/>
    <w:rsid w:val="006840EA"/>
    <w:rsid w:val="00684CB8"/>
    <w:rsid w:val="0068546B"/>
    <w:rsid w:val="00685B01"/>
    <w:rsid w:val="00685E07"/>
    <w:rsid w:val="0068617A"/>
    <w:rsid w:val="0068622C"/>
    <w:rsid w:val="00686E96"/>
    <w:rsid w:val="00687014"/>
    <w:rsid w:val="00687C22"/>
    <w:rsid w:val="0069091C"/>
    <w:rsid w:val="00690D69"/>
    <w:rsid w:val="0069117C"/>
    <w:rsid w:val="006922FF"/>
    <w:rsid w:val="00692933"/>
    <w:rsid w:val="00693185"/>
    <w:rsid w:val="00693769"/>
    <w:rsid w:val="00693C8F"/>
    <w:rsid w:val="00693EBE"/>
    <w:rsid w:val="00694A92"/>
    <w:rsid w:val="00695A01"/>
    <w:rsid w:val="00695AA0"/>
    <w:rsid w:val="0069605F"/>
    <w:rsid w:val="00696078"/>
    <w:rsid w:val="00696906"/>
    <w:rsid w:val="00697C45"/>
    <w:rsid w:val="00697CEC"/>
    <w:rsid w:val="006A08F9"/>
    <w:rsid w:val="006A09A8"/>
    <w:rsid w:val="006A1037"/>
    <w:rsid w:val="006A10C6"/>
    <w:rsid w:val="006A18BD"/>
    <w:rsid w:val="006A1985"/>
    <w:rsid w:val="006A1A1F"/>
    <w:rsid w:val="006A1F48"/>
    <w:rsid w:val="006A2ADA"/>
    <w:rsid w:val="006A3A74"/>
    <w:rsid w:val="006A3EFA"/>
    <w:rsid w:val="006A3FED"/>
    <w:rsid w:val="006A4681"/>
    <w:rsid w:val="006A4DDF"/>
    <w:rsid w:val="006A5C44"/>
    <w:rsid w:val="006A6494"/>
    <w:rsid w:val="006A66BF"/>
    <w:rsid w:val="006A6DBD"/>
    <w:rsid w:val="006B0471"/>
    <w:rsid w:val="006B19AC"/>
    <w:rsid w:val="006B3C12"/>
    <w:rsid w:val="006B3DAF"/>
    <w:rsid w:val="006B414D"/>
    <w:rsid w:val="006B4407"/>
    <w:rsid w:val="006B4692"/>
    <w:rsid w:val="006B5125"/>
    <w:rsid w:val="006B5643"/>
    <w:rsid w:val="006B5A4C"/>
    <w:rsid w:val="006B70C5"/>
    <w:rsid w:val="006B7420"/>
    <w:rsid w:val="006C04D0"/>
    <w:rsid w:val="006C0ABF"/>
    <w:rsid w:val="006C16C4"/>
    <w:rsid w:val="006C2578"/>
    <w:rsid w:val="006C5121"/>
    <w:rsid w:val="006C54D5"/>
    <w:rsid w:val="006C64CB"/>
    <w:rsid w:val="006C6602"/>
    <w:rsid w:val="006D0FC4"/>
    <w:rsid w:val="006D26FF"/>
    <w:rsid w:val="006D2811"/>
    <w:rsid w:val="006D2BC3"/>
    <w:rsid w:val="006D4B54"/>
    <w:rsid w:val="006D4D5C"/>
    <w:rsid w:val="006D6355"/>
    <w:rsid w:val="006D6C05"/>
    <w:rsid w:val="006D7279"/>
    <w:rsid w:val="006D7887"/>
    <w:rsid w:val="006D78AC"/>
    <w:rsid w:val="006E04F8"/>
    <w:rsid w:val="006E0535"/>
    <w:rsid w:val="006E10B7"/>
    <w:rsid w:val="006E21DA"/>
    <w:rsid w:val="006E21DC"/>
    <w:rsid w:val="006E28B8"/>
    <w:rsid w:val="006E2A63"/>
    <w:rsid w:val="006E2D93"/>
    <w:rsid w:val="006E39BD"/>
    <w:rsid w:val="006E4FC0"/>
    <w:rsid w:val="006E51B1"/>
    <w:rsid w:val="006E5335"/>
    <w:rsid w:val="006F0FBF"/>
    <w:rsid w:val="006F12B4"/>
    <w:rsid w:val="006F13DB"/>
    <w:rsid w:val="006F2351"/>
    <w:rsid w:val="006F3069"/>
    <w:rsid w:val="006F32C8"/>
    <w:rsid w:val="006F33C4"/>
    <w:rsid w:val="006F3878"/>
    <w:rsid w:val="006F3BFF"/>
    <w:rsid w:val="006F51CD"/>
    <w:rsid w:val="006F5D04"/>
    <w:rsid w:val="006F5D09"/>
    <w:rsid w:val="006F6DB1"/>
    <w:rsid w:val="006F7045"/>
    <w:rsid w:val="006F7959"/>
    <w:rsid w:val="006F79E9"/>
    <w:rsid w:val="006F7B21"/>
    <w:rsid w:val="006F7F6D"/>
    <w:rsid w:val="00700F3F"/>
    <w:rsid w:val="0070157E"/>
    <w:rsid w:val="0070250A"/>
    <w:rsid w:val="007026DA"/>
    <w:rsid w:val="00702AA8"/>
    <w:rsid w:val="00703521"/>
    <w:rsid w:val="00703726"/>
    <w:rsid w:val="00704CC7"/>
    <w:rsid w:val="007050F4"/>
    <w:rsid w:val="00706693"/>
    <w:rsid w:val="00706E62"/>
    <w:rsid w:val="00707268"/>
    <w:rsid w:val="00707687"/>
    <w:rsid w:val="00707A03"/>
    <w:rsid w:val="0071019A"/>
    <w:rsid w:val="0071139C"/>
    <w:rsid w:val="00711CC3"/>
    <w:rsid w:val="00711DCA"/>
    <w:rsid w:val="0071228B"/>
    <w:rsid w:val="00712696"/>
    <w:rsid w:val="00712738"/>
    <w:rsid w:val="00713B72"/>
    <w:rsid w:val="00713D09"/>
    <w:rsid w:val="00714225"/>
    <w:rsid w:val="00714508"/>
    <w:rsid w:val="00714717"/>
    <w:rsid w:val="00714A4D"/>
    <w:rsid w:val="00715E48"/>
    <w:rsid w:val="00716953"/>
    <w:rsid w:val="00716A29"/>
    <w:rsid w:val="00716A88"/>
    <w:rsid w:val="007176EA"/>
    <w:rsid w:val="0072046B"/>
    <w:rsid w:val="0072072C"/>
    <w:rsid w:val="00720778"/>
    <w:rsid w:val="00720F79"/>
    <w:rsid w:val="007212C9"/>
    <w:rsid w:val="007213FC"/>
    <w:rsid w:val="00721BAC"/>
    <w:rsid w:val="00722FE1"/>
    <w:rsid w:val="00722FE2"/>
    <w:rsid w:val="00723CA1"/>
    <w:rsid w:val="00724070"/>
    <w:rsid w:val="00725607"/>
    <w:rsid w:val="007260DD"/>
    <w:rsid w:val="007263FC"/>
    <w:rsid w:val="00727785"/>
    <w:rsid w:val="00727ED8"/>
    <w:rsid w:val="00727F81"/>
    <w:rsid w:val="007304D6"/>
    <w:rsid w:val="00730F02"/>
    <w:rsid w:val="0073201E"/>
    <w:rsid w:val="0073246E"/>
    <w:rsid w:val="00732762"/>
    <w:rsid w:val="007329EA"/>
    <w:rsid w:val="00732D02"/>
    <w:rsid w:val="0073398B"/>
    <w:rsid w:val="00734361"/>
    <w:rsid w:val="00734701"/>
    <w:rsid w:val="0073470A"/>
    <w:rsid w:val="00734E57"/>
    <w:rsid w:val="0073726A"/>
    <w:rsid w:val="00737D1A"/>
    <w:rsid w:val="007404A9"/>
    <w:rsid w:val="00740737"/>
    <w:rsid w:val="00740AA5"/>
    <w:rsid w:val="007411C8"/>
    <w:rsid w:val="00741C7E"/>
    <w:rsid w:val="007434FF"/>
    <w:rsid w:val="00743976"/>
    <w:rsid w:val="00743E8D"/>
    <w:rsid w:val="00743E92"/>
    <w:rsid w:val="00743F36"/>
    <w:rsid w:val="00744C4F"/>
    <w:rsid w:val="0074591D"/>
    <w:rsid w:val="00745D33"/>
    <w:rsid w:val="00747AE5"/>
    <w:rsid w:val="0075071B"/>
    <w:rsid w:val="00750D11"/>
    <w:rsid w:val="00750F79"/>
    <w:rsid w:val="007520FC"/>
    <w:rsid w:val="00752BEA"/>
    <w:rsid w:val="00753477"/>
    <w:rsid w:val="00753E00"/>
    <w:rsid w:val="00754C2F"/>
    <w:rsid w:val="0075592F"/>
    <w:rsid w:val="007571D4"/>
    <w:rsid w:val="007573FD"/>
    <w:rsid w:val="00757658"/>
    <w:rsid w:val="00757700"/>
    <w:rsid w:val="00757901"/>
    <w:rsid w:val="00757AA5"/>
    <w:rsid w:val="0076022F"/>
    <w:rsid w:val="00760F94"/>
    <w:rsid w:val="0076148A"/>
    <w:rsid w:val="0076174A"/>
    <w:rsid w:val="00761C6D"/>
    <w:rsid w:val="00762337"/>
    <w:rsid w:val="00763C77"/>
    <w:rsid w:val="00763E99"/>
    <w:rsid w:val="007644B1"/>
    <w:rsid w:val="007659BB"/>
    <w:rsid w:val="00766D1C"/>
    <w:rsid w:val="007675A7"/>
    <w:rsid w:val="00770683"/>
    <w:rsid w:val="0077072D"/>
    <w:rsid w:val="00770CE9"/>
    <w:rsid w:val="00770DB7"/>
    <w:rsid w:val="0077179D"/>
    <w:rsid w:val="00771815"/>
    <w:rsid w:val="00771CFB"/>
    <w:rsid w:val="0077379B"/>
    <w:rsid w:val="0077645E"/>
    <w:rsid w:val="00776A9F"/>
    <w:rsid w:val="007770AA"/>
    <w:rsid w:val="00777223"/>
    <w:rsid w:val="00780311"/>
    <w:rsid w:val="00780467"/>
    <w:rsid w:val="00780E90"/>
    <w:rsid w:val="007813C6"/>
    <w:rsid w:val="00781448"/>
    <w:rsid w:val="007815D3"/>
    <w:rsid w:val="0078165B"/>
    <w:rsid w:val="007816AB"/>
    <w:rsid w:val="00781B52"/>
    <w:rsid w:val="00781FC9"/>
    <w:rsid w:val="00782110"/>
    <w:rsid w:val="00785622"/>
    <w:rsid w:val="00785C1A"/>
    <w:rsid w:val="00787522"/>
    <w:rsid w:val="00787B35"/>
    <w:rsid w:val="00790FC3"/>
    <w:rsid w:val="00791C2D"/>
    <w:rsid w:val="007920D6"/>
    <w:rsid w:val="007928C2"/>
    <w:rsid w:val="00792954"/>
    <w:rsid w:val="00792E8F"/>
    <w:rsid w:val="0079445B"/>
    <w:rsid w:val="00794551"/>
    <w:rsid w:val="007952BF"/>
    <w:rsid w:val="00796276"/>
    <w:rsid w:val="007968E4"/>
    <w:rsid w:val="0079710F"/>
    <w:rsid w:val="007A067F"/>
    <w:rsid w:val="007A0D83"/>
    <w:rsid w:val="007A1033"/>
    <w:rsid w:val="007A1654"/>
    <w:rsid w:val="007A2331"/>
    <w:rsid w:val="007A2A5D"/>
    <w:rsid w:val="007A3514"/>
    <w:rsid w:val="007A360A"/>
    <w:rsid w:val="007A3BBB"/>
    <w:rsid w:val="007A5A85"/>
    <w:rsid w:val="007A5D2C"/>
    <w:rsid w:val="007A6545"/>
    <w:rsid w:val="007A7139"/>
    <w:rsid w:val="007A7CC6"/>
    <w:rsid w:val="007B0235"/>
    <w:rsid w:val="007B0A72"/>
    <w:rsid w:val="007B0B58"/>
    <w:rsid w:val="007B1759"/>
    <w:rsid w:val="007B31DA"/>
    <w:rsid w:val="007B4A74"/>
    <w:rsid w:val="007B5BEE"/>
    <w:rsid w:val="007B6346"/>
    <w:rsid w:val="007B6CA5"/>
    <w:rsid w:val="007C059B"/>
    <w:rsid w:val="007C07E5"/>
    <w:rsid w:val="007C1904"/>
    <w:rsid w:val="007C1B8E"/>
    <w:rsid w:val="007C31BE"/>
    <w:rsid w:val="007C36FF"/>
    <w:rsid w:val="007C5710"/>
    <w:rsid w:val="007C5BF5"/>
    <w:rsid w:val="007C61CF"/>
    <w:rsid w:val="007C6F90"/>
    <w:rsid w:val="007C7603"/>
    <w:rsid w:val="007C762B"/>
    <w:rsid w:val="007D089A"/>
    <w:rsid w:val="007D11C4"/>
    <w:rsid w:val="007D1248"/>
    <w:rsid w:val="007D1E1E"/>
    <w:rsid w:val="007D21A0"/>
    <w:rsid w:val="007D21BA"/>
    <w:rsid w:val="007D2B33"/>
    <w:rsid w:val="007D3036"/>
    <w:rsid w:val="007D3648"/>
    <w:rsid w:val="007D3C53"/>
    <w:rsid w:val="007D5B4E"/>
    <w:rsid w:val="007D5ED4"/>
    <w:rsid w:val="007D5FFC"/>
    <w:rsid w:val="007D61BF"/>
    <w:rsid w:val="007E1667"/>
    <w:rsid w:val="007E4911"/>
    <w:rsid w:val="007E59AD"/>
    <w:rsid w:val="007E5C1A"/>
    <w:rsid w:val="007E64B7"/>
    <w:rsid w:val="007E6ADD"/>
    <w:rsid w:val="007E6CBB"/>
    <w:rsid w:val="007E720B"/>
    <w:rsid w:val="007E778A"/>
    <w:rsid w:val="007E7A34"/>
    <w:rsid w:val="007F0384"/>
    <w:rsid w:val="007F0BD9"/>
    <w:rsid w:val="007F11DC"/>
    <w:rsid w:val="007F1828"/>
    <w:rsid w:val="007F2AA4"/>
    <w:rsid w:val="007F2EC4"/>
    <w:rsid w:val="007F3408"/>
    <w:rsid w:val="007F39DB"/>
    <w:rsid w:val="007F3FBD"/>
    <w:rsid w:val="007F4226"/>
    <w:rsid w:val="007F45C4"/>
    <w:rsid w:val="007F5C4E"/>
    <w:rsid w:val="007F5F8A"/>
    <w:rsid w:val="007F6298"/>
    <w:rsid w:val="007F6E02"/>
    <w:rsid w:val="007F7B4A"/>
    <w:rsid w:val="008020E9"/>
    <w:rsid w:val="00802C63"/>
    <w:rsid w:val="00803181"/>
    <w:rsid w:val="008034AE"/>
    <w:rsid w:val="00803B56"/>
    <w:rsid w:val="00804A26"/>
    <w:rsid w:val="0080622A"/>
    <w:rsid w:val="008066A1"/>
    <w:rsid w:val="00806700"/>
    <w:rsid w:val="00807227"/>
    <w:rsid w:val="00810739"/>
    <w:rsid w:val="008115D6"/>
    <w:rsid w:val="008117F3"/>
    <w:rsid w:val="00811B3F"/>
    <w:rsid w:val="00812B97"/>
    <w:rsid w:val="00812DFC"/>
    <w:rsid w:val="00813B0F"/>
    <w:rsid w:val="00814FBF"/>
    <w:rsid w:val="00815CBE"/>
    <w:rsid w:val="00816C99"/>
    <w:rsid w:val="00816EA6"/>
    <w:rsid w:val="0081718D"/>
    <w:rsid w:val="0081754E"/>
    <w:rsid w:val="00820B54"/>
    <w:rsid w:val="00820C25"/>
    <w:rsid w:val="00820DD2"/>
    <w:rsid w:val="008211CA"/>
    <w:rsid w:val="008218DC"/>
    <w:rsid w:val="008229F6"/>
    <w:rsid w:val="00822D2C"/>
    <w:rsid w:val="008230A0"/>
    <w:rsid w:val="00823858"/>
    <w:rsid w:val="0082524C"/>
    <w:rsid w:val="0082538C"/>
    <w:rsid w:val="0082586D"/>
    <w:rsid w:val="0082689D"/>
    <w:rsid w:val="0082770E"/>
    <w:rsid w:val="00827C68"/>
    <w:rsid w:val="0083071F"/>
    <w:rsid w:val="00830BDA"/>
    <w:rsid w:val="00830CDF"/>
    <w:rsid w:val="008317B7"/>
    <w:rsid w:val="00831E3E"/>
    <w:rsid w:val="0083266A"/>
    <w:rsid w:val="00832F57"/>
    <w:rsid w:val="0083357C"/>
    <w:rsid w:val="00835901"/>
    <w:rsid w:val="00835B30"/>
    <w:rsid w:val="008361E2"/>
    <w:rsid w:val="00837682"/>
    <w:rsid w:val="00837D0F"/>
    <w:rsid w:val="0084015A"/>
    <w:rsid w:val="00841207"/>
    <w:rsid w:val="008417D6"/>
    <w:rsid w:val="008419C3"/>
    <w:rsid w:val="00841D9B"/>
    <w:rsid w:val="0084234B"/>
    <w:rsid w:val="00842983"/>
    <w:rsid w:val="00842D80"/>
    <w:rsid w:val="008436C6"/>
    <w:rsid w:val="00843A05"/>
    <w:rsid w:val="00844426"/>
    <w:rsid w:val="00845C8F"/>
    <w:rsid w:val="00846653"/>
    <w:rsid w:val="008472A5"/>
    <w:rsid w:val="00847D17"/>
    <w:rsid w:val="00850874"/>
    <w:rsid w:val="00850EA0"/>
    <w:rsid w:val="008516A5"/>
    <w:rsid w:val="00851898"/>
    <w:rsid w:val="00851DC8"/>
    <w:rsid w:val="00852F02"/>
    <w:rsid w:val="008533F6"/>
    <w:rsid w:val="00854831"/>
    <w:rsid w:val="0085503D"/>
    <w:rsid w:val="008553F8"/>
    <w:rsid w:val="00855873"/>
    <w:rsid w:val="00855CF8"/>
    <w:rsid w:val="008564DA"/>
    <w:rsid w:val="00857BCF"/>
    <w:rsid w:val="008602ED"/>
    <w:rsid w:val="00860BF3"/>
    <w:rsid w:val="00860E77"/>
    <w:rsid w:val="00861096"/>
    <w:rsid w:val="00861EC9"/>
    <w:rsid w:val="008622D2"/>
    <w:rsid w:val="00863DEE"/>
    <w:rsid w:val="00864315"/>
    <w:rsid w:val="0086459B"/>
    <w:rsid w:val="008649C4"/>
    <w:rsid w:val="00865F38"/>
    <w:rsid w:val="00866E95"/>
    <w:rsid w:val="00867048"/>
    <w:rsid w:val="008672C9"/>
    <w:rsid w:val="00867C35"/>
    <w:rsid w:val="00870D9D"/>
    <w:rsid w:val="00871169"/>
    <w:rsid w:val="008715B6"/>
    <w:rsid w:val="00871919"/>
    <w:rsid w:val="00871B6A"/>
    <w:rsid w:val="00871C13"/>
    <w:rsid w:val="00872F0A"/>
    <w:rsid w:val="00873620"/>
    <w:rsid w:val="00873F4D"/>
    <w:rsid w:val="008747A9"/>
    <w:rsid w:val="00874A4E"/>
    <w:rsid w:val="00874F5D"/>
    <w:rsid w:val="0087543B"/>
    <w:rsid w:val="00876B9A"/>
    <w:rsid w:val="00882928"/>
    <w:rsid w:val="00882F0A"/>
    <w:rsid w:val="008839F8"/>
    <w:rsid w:val="00883D70"/>
    <w:rsid w:val="008847D8"/>
    <w:rsid w:val="00885146"/>
    <w:rsid w:val="00885170"/>
    <w:rsid w:val="00890785"/>
    <w:rsid w:val="00890B06"/>
    <w:rsid w:val="008918F3"/>
    <w:rsid w:val="00891FFE"/>
    <w:rsid w:val="0089207F"/>
    <w:rsid w:val="00892A44"/>
    <w:rsid w:val="008939B2"/>
    <w:rsid w:val="00894118"/>
    <w:rsid w:val="00894363"/>
    <w:rsid w:val="00894FDD"/>
    <w:rsid w:val="00895A46"/>
    <w:rsid w:val="00895A4C"/>
    <w:rsid w:val="00895DC1"/>
    <w:rsid w:val="00896B43"/>
    <w:rsid w:val="00896DA6"/>
    <w:rsid w:val="00897060"/>
    <w:rsid w:val="008A02C2"/>
    <w:rsid w:val="008A0977"/>
    <w:rsid w:val="008A1488"/>
    <w:rsid w:val="008A1FA4"/>
    <w:rsid w:val="008A24A4"/>
    <w:rsid w:val="008A279F"/>
    <w:rsid w:val="008A39D0"/>
    <w:rsid w:val="008A528D"/>
    <w:rsid w:val="008A55EF"/>
    <w:rsid w:val="008A598E"/>
    <w:rsid w:val="008B0583"/>
    <w:rsid w:val="008B090F"/>
    <w:rsid w:val="008B2AD6"/>
    <w:rsid w:val="008B2F17"/>
    <w:rsid w:val="008B36BD"/>
    <w:rsid w:val="008B4A99"/>
    <w:rsid w:val="008B5BA5"/>
    <w:rsid w:val="008B6279"/>
    <w:rsid w:val="008B7BA1"/>
    <w:rsid w:val="008C09FB"/>
    <w:rsid w:val="008C1593"/>
    <w:rsid w:val="008C27B5"/>
    <w:rsid w:val="008C289B"/>
    <w:rsid w:val="008C2E90"/>
    <w:rsid w:val="008C2F10"/>
    <w:rsid w:val="008C37AE"/>
    <w:rsid w:val="008C3DA0"/>
    <w:rsid w:val="008C44F1"/>
    <w:rsid w:val="008C454D"/>
    <w:rsid w:val="008C4B9E"/>
    <w:rsid w:val="008C5304"/>
    <w:rsid w:val="008C60C2"/>
    <w:rsid w:val="008C6566"/>
    <w:rsid w:val="008C6731"/>
    <w:rsid w:val="008C6873"/>
    <w:rsid w:val="008C6D02"/>
    <w:rsid w:val="008C71DB"/>
    <w:rsid w:val="008C78E5"/>
    <w:rsid w:val="008D0462"/>
    <w:rsid w:val="008D0483"/>
    <w:rsid w:val="008D1922"/>
    <w:rsid w:val="008D1BA8"/>
    <w:rsid w:val="008D2257"/>
    <w:rsid w:val="008D427C"/>
    <w:rsid w:val="008D4752"/>
    <w:rsid w:val="008D4831"/>
    <w:rsid w:val="008D4967"/>
    <w:rsid w:val="008D4C71"/>
    <w:rsid w:val="008D62D7"/>
    <w:rsid w:val="008D7AE6"/>
    <w:rsid w:val="008D7C7C"/>
    <w:rsid w:val="008D7F76"/>
    <w:rsid w:val="008E0AC2"/>
    <w:rsid w:val="008E0F2D"/>
    <w:rsid w:val="008E3D77"/>
    <w:rsid w:val="008E4480"/>
    <w:rsid w:val="008E542B"/>
    <w:rsid w:val="008E5ED3"/>
    <w:rsid w:val="008E62C7"/>
    <w:rsid w:val="008E68F9"/>
    <w:rsid w:val="008E6CF2"/>
    <w:rsid w:val="008E7224"/>
    <w:rsid w:val="008F0FC4"/>
    <w:rsid w:val="008F14C9"/>
    <w:rsid w:val="008F1E0D"/>
    <w:rsid w:val="008F2CFA"/>
    <w:rsid w:val="008F33CE"/>
    <w:rsid w:val="008F33F1"/>
    <w:rsid w:val="008F36C1"/>
    <w:rsid w:val="008F38BD"/>
    <w:rsid w:val="008F3BDC"/>
    <w:rsid w:val="008F5258"/>
    <w:rsid w:val="008F5312"/>
    <w:rsid w:val="008F64B5"/>
    <w:rsid w:val="008F6E34"/>
    <w:rsid w:val="008F7B31"/>
    <w:rsid w:val="008F7F32"/>
    <w:rsid w:val="0090020F"/>
    <w:rsid w:val="009004F4"/>
    <w:rsid w:val="00901296"/>
    <w:rsid w:val="00902516"/>
    <w:rsid w:val="00902C8A"/>
    <w:rsid w:val="009038F8"/>
    <w:rsid w:val="00903EEF"/>
    <w:rsid w:val="009050B5"/>
    <w:rsid w:val="00905263"/>
    <w:rsid w:val="0090537E"/>
    <w:rsid w:val="009059C6"/>
    <w:rsid w:val="009059EC"/>
    <w:rsid w:val="00905D52"/>
    <w:rsid w:val="00907475"/>
    <w:rsid w:val="009100E9"/>
    <w:rsid w:val="009103E3"/>
    <w:rsid w:val="00911B19"/>
    <w:rsid w:val="009126A5"/>
    <w:rsid w:val="0091361F"/>
    <w:rsid w:val="0091398A"/>
    <w:rsid w:val="00913E79"/>
    <w:rsid w:val="00914135"/>
    <w:rsid w:val="00914547"/>
    <w:rsid w:val="00914745"/>
    <w:rsid w:val="00915C18"/>
    <w:rsid w:val="00916840"/>
    <w:rsid w:val="00916961"/>
    <w:rsid w:val="009171E1"/>
    <w:rsid w:val="00917995"/>
    <w:rsid w:val="00917F9E"/>
    <w:rsid w:val="00920A22"/>
    <w:rsid w:val="00920CA3"/>
    <w:rsid w:val="00921795"/>
    <w:rsid w:val="009222CC"/>
    <w:rsid w:val="0092256A"/>
    <w:rsid w:val="00922A4D"/>
    <w:rsid w:val="00922D2F"/>
    <w:rsid w:val="009235B0"/>
    <w:rsid w:val="0092484D"/>
    <w:rsid w:val="00924D15"/>
    <w:rsid w:val="009272E7"/>
    <w:rsid w:val="0092756E"/>
    <w:rsid w:val="009276AA"/>
    <w:rsid w:val="00930902"/>
    <w:rsid w:val="00931DCA"/>
    <w:rsid w:val="00934C56"/>
    <w:rsid w:val="00934EF7"/>
    <w:rsid w:val="009370A4"/>
    <w:rsid w:val="009373C8"/>
    <w:rsid w:val="00937687"/>
    <w:rsid w:val="00937A49"/>
    <w:rsid w:val="00940DCA"/>
    <w:rsid w:val="0094165D"/>
    <w:rsid w:val="009417B0"/>
    <w:rsid w:val="009423BB"/>
    <w:rsid w:val="0094246C"/>
    <w:rsid w:val="009426F0"/>
    <w:rsid w:val="00943037"/>
    <w:rsid w:val="00943044"/>
    <w:rsid w:val="00943593"/>
    <w:rsid w:val="00943AE0"/>
    <w:rsid w:val="00944B75"/>
    <w:rsid w:val="009473D3"/>
    <w:rsid w:val="00950A58"/>
    <w:rsid w:val="00952C0E"/>
    <w:rsid w:val="00952DC7"/>
    <w:rsid w:val="00954A32"/>
    <w:rsid w:val="009550A7"/>
    <w:rsid w:val="009559E7"/>
    <w:rsid w:val="00955DCA"/>
    <w:rsid w:val="00955EA2"/>
    <w:rsid w:val="00956A95"/>
    <w:rsid w:val="00956AF0"/>
    <w:rsid w:val="00956BF5"/>
    <w:rsid w:val="0095765B"/>
    <w:rsid w:val="00957908"/>
    <w:rsid w:val="00957C6F"/>
    <w:rsid w:val="00957F21"/>
    <w:rsid w:val="00960716"/>
    <w:rsid w:val="0096071E"/>
    <w:rsid w:val="00960B9F"/>
    <w:rsid w:val="009623A9"/>
    <w:rsid w:val="00962542"/>
    <w:rsid w:val="00962F76"/>
    <w:rsid w:val="0096410D"/>
    <w:rsid w:val="0096493C"/>
    <w:rsid w:val="00964B85"/>
    <w:rsid w:val="0096520E"/>
    <w:rsid w:val="00965346"/>
    <w:rsid w:val="00965C16"/>
    <w:rsid w:val="00966510"/>
    <w:rsid w:val="00966584"/>
    <w:rsid w:val="009672BE"/>
    <w:rsid w:val="00967FDD"/>
    <w:rsid w:val="00970AE4"/>
    <w:rsid w:val="00970E95"/>
    <w:rsid w:val="00971510"/>
    <w:rsid w:val="00972861"/>
    <w:rsid w:val="00973353"/>
    <w:rsid w:val="00973A9C"/>
    <w:rsid w:val="009742A4"/>
    <w:rsid w:val="00974BDC"/>
    <w:rsid w:val="00974C6B"/>
    <w:rsid w:val="00974D50"/>
    <w:rsid w:val="00974F2B"/>
    <w:rsid w:val="00975AAE"/>
    <w:rsid w:val="00976D07"/>
    <w:rsid w:val="00976E8E"/>
    <w:rsid w:val="009773FC"/>
    <w:rsid w:val="00980C6F"/>
    <w:rsid w:val="00980E9E"/>
    <w:rsid w:val="00981D66"/>
    <w:rsid w:val="0098207E"/>
    <w:rsid w:val="009821E7"/>
    <w:rsid w:val="009837ED"/>
    <w:rsid w:val="009851F8"/>
    <w:rsid w:val="009857FF"/>
    <w:rsid w:val="009862FC"/>
    <w:rsid w:val="00986B30"/>
    <w:rsid w:val="00986F88"/>
    <w:rsid w:val="00986F8C"/>
    <w:rsid w:val="00987127"/>
    <w:rsid w:val="00987991"/>
    <w:rsid w:val="00987E48"/>
    <w:rsid w:val="00991495"/>
    <w:rsid w:val="0099176C"/>
    <w:rsid w:val="00991B89"/>
    <w:rsid w:val="00992B8A"/>
    <w:rsid w:val="00993B7F"/>
    <w:rsid w:val="00993CF9"/>
    <w:rsid w:val="00994D9F"/>
    <w:rsid w:val="00995251"/>
    <w:rsid w:val="0099681B"/>
    <w:rsid w:val="0099683E"/>
    <w:rsid w:val="00997157"/>
    <w:rsid w:val="00997322"/>
    <w:rsid w:val="009A06C2"/>
    <w:rsid w:val="009A06EC"/>
    <w:rsid w:val="009A147E"/>
    <w:rsid w:val="009A17AE"/>
    <w:rsid w:val="009A1EEA"/>
    <w:rsid w:val="009A3666"/>
    <w:rsid w:val="009A3D55"/>
    <w:rsid w:val="009A50B0"/>
    <w:rsid w:val="009A539B"/>
    <w:rsid w:val="009A5BF8"/>
    <w:rsid w:val="009A74AD"/>
    <w:rsid w:val="009A77AF"/>
    <w:rsid w:val="009B161D"/>
    <w:rsid w:val="009B2AA2"/>
    <w:rsid w:val="009B2FA3"/>
    <w:rsid w:val="009B420E"/>
    <w:rsid w:val="009B4408"/>
    <w:rsid w:val="009B49DD"/>
    <w:rsid w:val="009B6747"/>
    <w:rsid w:val="009B7A29"/>
    <w:rsid w:val="009B7D1A"/>
    <w:rsid w:val="009C0D30"/>
    <w:rsid w:val="009C1CF8"/>
    <w:rsid w:val="009C2234"/>
    <w:rsid w:val="009C2FE6"/>
    <w:rsid w:val="009C3E14"/>
    <w:rsid w:val="009C5301"/>
    <w:rsid w:val="009D08C7"/>
    <w:rsid w:val="009D1A6A"/>
    <w:rsid w:val="009D24EF"/>
    <w:rsid w:val="009D298F"/>
    <w:rsid w:val="009D2B89"/>
    <w:rsid w:val="009D3834"/>
    <w:rsid w:val="009D3896"/>
    <w:rsid w:val="009D44CE"/>
    <w:rsid w:val="009D4A54"/>
    <w:rsid w:val="009D5E6C"/>
    <w:rsid w:val="009D6B47"/>
    <w:rsid w:val="009D7475"/>
    <w:rsid w:val="009E02BD"/>
    <w:rsid w:val="009E0446"/>
    <w:rsid w:val="009E130B"/>
    <w:rsid w:val="009E1BFC"/>
    <w:rsid w:val="009E1D9D"/>
    <w:rsid w:val="009E1E88"/>
    <w:rsid w:val="009E2327"/>
    <w:rsid w:val="009E2E00"/>
    <w:rsid w:val="009E40E1"/>
    <w:rsid w:val="009E4240"/>
    <w:rsid w:val="009E47FB"/>
    <w:rsid w:val="009E4E7B"/>
    <w:rsid w:val="009E5A57"/>
    <w:rsid w:val="009E5DEE"/>
    <w:rsid w:val="009E60E1"/>
    <w:rsid w:val="009E6238"/>
    <w:rsid w:val="009E7113"/>
    <w:rsid w:val="009F07E9"/>
    <w:rsid w:val="009F1386"/>
    <w:rsid w:val="009F15C3"/>
    <w:rsid w:val="009F181C"/>
    <w:rsid w:val="009F1EC9"/>
    <w:rsid w:val="009F253D"/>
    <w:rsid w:val="009F25F1"/>
    <w:rsid w:val="009F3A0D"/>
    <w:rsid w:val="009F4BC8"/>
    <w:rsid w:val="009F61AB"/>
    <w:rsid w:val="009F71C7"/>
    <w:rsid w:val="009F7334"/>
    <w:rsid w:val="009F78EA"/>
    <w:rsid w:val="00A008B3"/>
    <w:rsid w:val="00A01D12"/>
    <w:rsid w:val="00A0276F"/>
    <w:rsid w:val="00A02C86"/>
    <w:rsid w:val="00A03B6B"/>
    <w:rsid w:val="00A04E17"/>
    <w:rsid w:val="00A0542D"/>
    <w:rsid w:val="00A06E7F"/>
    <w:rsid w:val="00A07519"/>
    <w:rsid w:val="00A077A9"/>
    <w:rsid w:val="00A07EEB"/>
    <w:rsid w:val="00A102F0"/>
    <w:rsid w:val="00A10CF8"/>
    <w:rsid w:val="00A12EA6"/>
    <w:rsid w:val="00A130C7"/>
    <w:rsid w:val="00A1328A"/>
    <w:rsid w:val="00A13519"/>
    <w:rsid w:val="00A139C3"/>
    <w:rsid w:val="00A13BAF"/>
    <w:rsid w:val="00A14BFD"/>
    <w:rsid w:val="00A1664E"/>
    <w:rsid w:val="00A168CC"/>
    <w:rsid w:val="00A168FB"/>
    <w:rsid w:val="00A16CF5"/>
    <w:rsid w:val="00A16D17"/>
    <w:rsid w:val="00A170B2"/>
    <w:rsid w:val="00A172EB"/>
    <w:rsid w:val="00A200C5"/>
    <w:rsid w:val="00A20367"/>
    <w:rsid w:val="00A21090"/>
    <w:rsid w:val="00A21762"/>
    <w:rsid w:val="00A21A55"/>
    <w:rsid w:val="00A22347"/>
    <w:rsid w:val="00A227AF"/>
    <w:rsid w:val="00A246F2"/>
    <w:rsid w:val="00A25523"/>
    <w:rsid w:val="00A25557"/>
    <w:rsid w:val="00A256DD"/>
    <w:rsid w:val="00A25EA0"/>
    <w:rsid w:val="00A264A0"/>
    <w:rsid w:val="00A26CF8"/>
    <w:rsid w:val="00A272D5"/>
    <w:rsid w:val="00A30769"/>
    <w:rsid w:val="00A30CB3"/>
    <w:rsid w:val="00A316D3"/>
    <w:rsid w:val="00A32681"/>
    <w:rsid w:val="00A32B1A"/>
    <w:rsid w:val="00A33BB1"/>
    <w:rsid w:val="00A34357"/>
    <w:rsid w:val="00A34F4E"/>
    <w:rsid w:val="00A35629"/>
    <w:rsid w:val="00A35949"/>
    <w:rsid w:val="00A35962"/>
    <w:rsid w:val="00A36598"/>
    <w:rsid w:val="00A3683C"/>
    <w:rsid w:val="00A37729"/>
    <w:rsid w:val="00A37AAA"/>
    <w:rsid w:val="00A37ECB"/>
    <w:rsid w:val="00A40031"/>
    <w:rsid w:val="00A406E7"/>
    <w:rsid w:val="00A4225C"/>
    <w:rsid w:val="00A42E2E"/>
    <w:rsid w:val="00A43AF6"/>
    <w:rsid w:val="00A43C9C"/>
    <w:rsid w:val="00A441D4"/>
    <w:rsid w:val="00A4559A"/>
    <w:rsid w:val="00A45731"/>
    <w:rsid w:val="00A45F06"/>
    <w:rsid w:val="00A46161"/>
    <w:rsid w:val="00A476C3"/>
    <w:rsid w:val="00A47ACB"/>
    <w:rsid w:val="00A47FDE"/>
    <w:rsid w:val="00A50176"/>
    <w:rsid w:val="00A508C8"/>
    <w:rsid w:val="00A50D11"/>
    <w:rsid w:val="00A52524"/>
    <w:rsid w:val="00A525AB"/>
    <w:rsid w:val="00A52A81"/>
    <w:rsid w:val="00A52B7C"/>
    <w:rsid w:val="00A53091"/>
    <w:rsid w:val="00A534DF"/>
    <w:rsid w:val="00A53FFE"/>
    <w:rsid w:val="00A543D8"/>
    <w:rsid w:val="00A54433"/>
    <w:rsid w:val="00A546C1"/>
    <w:rsid w:val="00A5477C"/>
    <w:rsid w:val="00A54C4F"/>
    <w:rsid w:val="00A56934"/>
    <w:rsid w:val="00A56A5E"/>
    <w:rsid w:val="00A57C9A"/>
    <w:rsid w:val="00A57F83"/>
    <w:rsid w:val="00A609C8"/>
    <w:rsid w:val="00A60E44"/>
    <w:rsid w:val="00A61706"/>
    <w:rsid w:val="00A61DB9"/>
    <w:rsid w:val="00A62A80"/>
    <w:rsid w:val="00A62AE4"/>
    <w:rsid w:val="00A62D98"/>
    <w:rsid w:val="00A64A3A"/>
    <w:rsid w:val="00A652CC"/>
    <w:rsid w:val="00A66030"/>
    <w:rsid w:val="00A66EA3"/>
    <w:rsid w:val="00A67195"/>
    <w:rsid w:val="00A67211"/>
    <w:rsid w:val="00A6752C"/>
    <w:rsid w:val="00A70289"/>
    <w:rsid w:val="00A70E77"/>
    <w:rsid w:val="00A713B1"/>
    <w:rsid w:val="00A716A6"/>
    <w:rsid w:val="00A716D2"/>
    <w:rsid w:val="00A71806"/>
    <w:rsid w:val="00A71B5A"/>
    <w:rsid w:val="00A72030"/>
    <w:rsid w:val="00A72598"/>
    <w:rsid w:val="00A75390"/>
    <w:rsid w:val="00A755D7"/>
    <w:rsid w:val="00A758DC"/>
    <w:rsid w:val="00A75989"/>
    <w:rsid w:val="00A762A0"/>
    <w:rsid w:val="00A77038"/>
    <w:rsid w:val="00A77A59"/>
    <w:rsid w:val="00A80766"/>
    <w:rsid w:val="00A80AF7"/>
    <w:rsid w:val="00A80F5F"/>
    <w:rsid w:val="00A80FC2"/>
    <w:rsid w:val="00A81952"/>
    <w:rsid w:val="00A819F4"/>
    <w:rsid w:val="00A82040"/>
    <w:rsid w:val="00A82094"/>
    <w:rsid w:val="00A82D4D"/>
    <w:rsid w:val="00A8333B"/>
    <w:rsid w:val="00A839C6"/>
    <w:rsid w:val="00A83A1E"/>
    <w:rsid w:val="00A84FC4"/>
    <w:rsid w:val="00A8694D"/>
    <w:rsid w:val="00A86DFA"/>
    <w:rsid w:val="00A87A65"/>
    <w:rsid w:val="00A912C9"/>
    <w:rsid w:val="00A91D50"/>
    <w:rsid w:val="00A93A94"/>
    <w:rsid w:val="00A9423F"/>
    <w:rsid w:val="00A94307"/>
    <w:rsid w:val="00A947DB"/>
    <w:rsid w:val="00A94922"/>
    <w:rsid w:val="00A94A98"/>
    <w:rsid w:val="00A94B55"/>
    <w:rsid w:val="00A958DE"/>
    <w:rsid w:val="00A95D51"/>
    <w:rsid w:val="00A969F2"/>
    <w:rsid w:val="00AA06EB"/>
    <w:rsid w:val="00AA0F1F"/>
    <w:rsid w:val="00AA1F16"/>
    <w:rsid w:val="00AA209E"/>
    <w:rsid w:val="00AA2F4C"/>
    <w:rsid w:val="00AA3311"/>
    <w:rsid w:val="00AA3419"/>
    <w:rsid w:val="00AA48F1"/>
    <w:rsid w:val="00AA576B"/>
    <w:rsid w:val="00AB167D"/>
    <w:rsid w:val="00AB1DCA"/>
    <w:rsid w:val="00AB34C9"/>
    <w:rsid w:val="00AB43A9"/>
    <w:rsid w:val="00AB5C02"/>
    <w:rsid w:val="00AB6003"/>
    <w:rsid w:val="00AC1091"/>
    <w:rsid w:val="00AC1667"/>
    <w:rsid w:val="00AC291F"/>
    <w:rsid w:val="00AC3EF1"/>
    <w:rsid w:val="00AC3F43"/>
    <w:rsid w:val="00AC6073"/>
    <w:rsid w:val="00AD0686"/>
    <w:rsid w:val="00AD0970"/>
    <w:rsid w:val="00AD0D5B"/>
    <w:rsid w:val="00AD12FA"/>
    <w:rsid w:val="00AD27E9"/>
    <w:rsid w:val="00AD3292"/>
    <w:rsid w:val="00AD493A"/>
    <w:rsid w:val="00AD49C4"/>
    <w:rsid w:val="00AD4A4D"/>
    <w:rsid w:val="00AD7642"/>
    <w:rsid w:val="00AD7857"/>
    <w:rsid w:val="00AD7E23"/>
    <w:rsid w:val="00AD7F7C"/>
    <w:rsid w:val="00AE010C"/>
    <w:rsid w:val="00AE1048"/>
    <w:rsid w:val="00AE189E"/>
    <w:rsid w:val="00AE24EA"/>
    <w:rsid w:val="00AE2944"/>
    <w:rsid w:val="00AE3ACE"/>
    <w:rsid w:val="00AE3B5B"/>
    <w:rsid w:val="00AE41E1"/>
    <w:rsid w:val="00AE438D"/>
    <w:rsid w:val="00AE45B2"/>
    <w:rsid w:val="00AE4BA6"/>
    <w:rsid w:val="00AE5BF8"/>
    <w:rsid w:val="00AE626B"/>
    <w:rsid w:val="00AE6899"/>
    <w:rsid w:val="00AE73FD"/>
    <w:rsid w:val="00AE782E"/>
    <w:rsid w:val="00AF03C0"/>
    <w:rsid w:val="00AF0815"/>
    <w:rsid w:val="00AF1981"/>
    <w:rsid w:val="00AF1DF9"/>
    <w:rsid w:val="00AF26A2"/>
    <w:rsid w:val="00AF3A86"/>
    <w:rsid w:val="00AF57B6"/>
    <w:rsid w:val="00AF6F6C"/>
    <w:rsid w:val="00AF7073"/>
    <w:rsid w:val="00AF7608"/>
    <w:rsid w:val="00AF79FC"/>
    <w:rsid w:val="00AF7FA5"/>
    <w:rsid w:val="00B02085"/>
    <w:rsid w:val="00B02550"/>
    <w:rsid w:val="00B027A1"/>
    <w:rsid w:val="00B027B7"/>
    <w:rsid w:val="00B0287C"/>
    <w:rsid w:val="00B02C08"/>
    <w:rsid w:val="00B037A7"/>
    <w:rsid w:val="00B04559"/>
    <w:rsid w:val="00B048AE"/>
    <w:rsid w:val="00B0545C"/>
    <w:rsid w:val="00B05D6D"/>
    <w:rsid w:val="00B073A0"/>
    <w:rsid w:val="00B079C3"/>
    <w:rsid w:val="00B079F2"/>
    <w:rsid w:val="00B07DBE"/>
    <w:rsid w:val="00B102B0"/>
    <w:rsid w:val="00B10EF3"/>
    <w:rsid w:val="00B111CC"/>
    <w:rsid w:val="00B1156F"/>
    <w:rsid w:val="00B11FED"/>
    <w:rsid w:val="00B12011"/>
    <w:rsid w:val="00B12315"/>
    <w:rsid w:val="00B12F33"/>
    <w:rsid w:val="00B140B4"/>
    <w:rsid w:val="00B14D49"/>
    <w:rsid w:val="00B14F66"/>
    <w:rsid w:val="00B15AAE"/>
    <w:rsid w:val="00B164D5"/>
    <w:rsid w:val="00B17689"/>
    <w:rsid w:val="00B177B7"/>
    <w:rsid w:val="00B2085F"/>
    <w:rsid w:val="00B20A27"/>
    <w:rsid w:val="00B2276D"/>
    <w:rsid w:val="00B22B36"/>
    <w:rsid w:val="00B22F6C"/>
    <w:rsid w:val="00B23271"/>
    <w:rsid w:val="00B23B24"/>
    <w:rsid w:val="00B24CB5"/>
    <w:rsid w:val="00B24D2F"/>
    <w:rsid w:val="00B2543C"/>
    <w:rsid w:val="00B257B0"/>
    <w:rsid w:val="00B25CA4"/>
    <w:rsid w:val="00B25CF8"/>
    <w:rsid w:val="00B25FE8"/>
    <w:rsid w:val="00B26028"/>
    <w:rsid w:val="00B268DD"/>
    <w:rsid w:val="00B27723"/>
    <w:rsid w:val="00B30E96"/>
    <w:rsid w:val="00B329FF"/>
    <w:rsid w:val="00B32E8C"/>
    <w:rsid w:val="00B33530"/>
    <w:rsid w:val="00B3384E"/>
    <w:rsid w:val="00B33D17"/>
    <w:rsid w:val="00B33FA8"/>
    <w:rsid w:val="00B344A9"/>
    <w:rsid w:val="00B354E1"/>
    <w:rsid w:val="00B36473"/>
    <w:rsid w:val="00B36F20"/>
    <w:rsid w:val="00B371AA"/>
    <w:rsid w:val="00B42052"/>
    <w:rsid w:val="00B446C3"/>
    <w:rsid w:val="00B44EFD"/>
    <w:rsid w:val="00B45313"/>
    <w:rsid w:val="00B46312"/>
    <w:rsid w:val="00B464FB"/>
    <w:rsid w:val="00B46D67"/>
    <w:rsid w:val="00B47DC3"/>
    <w:rsid w:val="00B50168"/>
    <w:rsid w:val="00B52744"/>
    <w:rsid w:val="00B5343F"/>
    <w:rsid w:val="00B5355F"/>
    <w:rsid w:val="00B538DB"/>
    <w:rsid w:val="00B5659A"/>
    <w:rsid w:val="00B5664B"/>
    <w:rsid w:val="00B575A8"/>
    <w:rsid w:val="00B6058B"/>
    <w:rsid w:val="00B60B3A"/>
    <w:rsid w:val="00B616A6"/>
    <w:rsid w:val="00B61B52"/>
    <w:rsid w:val="00B62513"/>
    <w:rsid w:val="00B6300F"/>
    <w:rsid w:val="00B6373E"/>
    <w:rsid w:val="00B6406A"/>
    <w:rsid w:val="00B6430C"/>
    <w:rsid w:val="00B64818"/>
    <w:rsid w:val="00B65B93"/>
    <w:rsid w:val="00B712B2"/>
    <w:rsid w:val="00B71FAA"/>
    <w:rsid w:val="00B72265"/>
    <w:rsid w:val="00B7240B"/>
    <w:rsid w:val="00B72802"/>
    <w:rsid w:val="00B72CCA"/>
    <w:rsid w:val="00B73922"/>
    <w:rsid w:val="00B755F4"/>
    <w:rsid w:val="00B75758"/>
    <w:rsid w:val="00B75B04"/>
    <w:rsid w:val="00B75D5F"/>
    <w:rsid w:val="00B75DBC"/>
    <w:rsid w:val="00B7630A"/>
    <w:rsid w:val="00B76659"/>
    <w:rsid w:val="00B76F35"/>
    <w:rsid w:val="00B77385"/>
    <w:rsid w:val="00B804F9"/>
    <w:rsid w:val="00B808C0"/>
    <w:rsid w:val="00B81768"/>
    <w:rsid w:val="00B81E75"/>
    <w:rsid w:val="00B82662"/>
    <w:rsid w:val="00B82EEF"/>
    <w:rsid w:val="00B844CA"/>
    <w:rsid w:val="00B84D34"/>
    <w:rsid w:val="00B85070"/>
    <w:rsid w:val="00B85651"/>
    <w:rsid w:val="00B856B3"/>
    <w:rsid w:val="00B856F5"/>
    <w:rsid w:val="00B8572F"/>
    <w:rsid w:val="00B859AF"/>
    <w:rsid w:val="00B85AD6"/>
    <w:rsid w:val="00B85BF5"/>
    <w:rsid w:val="00B86F81"/>
    <w:rsid w:val="00B86FE7"/>
    <w:rsid w:val="00B87959"/>
    <w:rsid w:val="00B90FA5"/>
    <w:rsid w:val="00B91375"/>
    <w:rsid w:val="00B9262B"/>
    <w:rsid w:val="00B92670"/>
    <w:rsid w:val="00B92B5B"/>
    <w:rsid w:val="00B92F4F"/>
    <w:rsid w:val="00B9329C"/>
    <w:rsid w:val="00B93ED1"/>
    <w:rsid w:val="00B941D5"/>
    <w:rsid w:val="00B94CA8"/>
    <w:rsid w:val="00B95D10"/>
    <w:rsid w:val="00B96444"/>
    <w:rsid w:val="00B96AC2"/>
    <w:rsid w:val="00B97F72"/>
    <w:rsid w:val="00BA072B"/>
    <w:rsid w:val="00BA181D"/>
    <w:rsid w:val="00BA1837"/>
    <w:rsid w:val="00BA1E48"/>
    <w:rsid w:val="00BA24A7"/>
    <w:rsid w:val="00BA2E8A"/>
    <w:rsid w:val="00BA2F1E"/>
    <w:rsid w:val="00BA31F8"/>
    <w:rsid w:val="00BA35EC"/>
    <w:rsid w:val="00BA3F80"/>
    <w:rsid w:val="00BA460C"/>
    <w:rsid w:val="00BA4F1C"/>
    <w:rsid w:val="00BA51EC"/>
    <w:rsid w:val="00BA6AC5"/>
    <w:rsid w:val="00BA6C5F"/>
    <w:rsid w:val="00BA6F96"/>
    <w:rsid w:val="00BA732D"/>
    <w:rsid w:val="00BA75A3"/>
    <w:rsid w:val="00BB0A70"/>
    <w:rsid w:val="00BB0BA2"/>
    <w:rsid w:val="00BB16DC"/>
    <w:rsid w:val="00BB24C2"/>
    <w:rsid w:val="00BB2A72"/>
    <w:rsid w:val="00BB2BB9"/>
    <w:rsid w:val="00BB419A"/>
    <w:rsid w:val="00BB4B4E"/>
    <w:rsid w:val="00BB4C21"/>
    <w:rsid w:val="00BB5E4D"/>
    <w:rsid w:val="00BB7BC5"/>
    <w:rsid w:val="00BC0661"/>
    <w:rsid w:val="00BC1AA8"/>
    <w:rsid w:val="00BC27DB"/>
    <w:rsid w:val="00BC2AB0"/>
    <w:rsid w:val="00BC2AD8"/>
    <w:rsid w:val="00BC43EE"/>
    <w:rsid w:val="00BC5847"/>
    <w:rsid w:val="00BC611A"/>
    <w:rsid w:val="00BC64FA"/>
    <w:rsid w:val="00BC6A56"/>
    <w:rsid w:val="00BC6BFD"/>
    <w:rsid w:val="00BC6DF1"/>
    <w:rsid w:val="00BC7C65"/>
    <w:rsid w:val="00BD1575"/>
    <w:rsid w:val="00BD38D5"/>
    <w:rsid w:val="00BD502B"/>
    <w:rsid w:val="00BD52D7"/>
    <w:rsid w:val="00BD6384"/>
    <w:rsid w:val="00BD64CE"/>
    <w:rsid w:val="00BD6EFE"/>
    <w:rsid w:val="00BD7CE3"/>
    <w:rsid w:val="00BE12A0"/>
    <w:rsid w:val="00BE25C3"/>
    <w:rsid w:val="00BE353F"/>
    <w:rsid w:val="00BE3696"/>
    <w:rsid w:val="00BE3BD7"/>
    <w:rsid w:val="00BE51A3"/>
    <w:rsid w:val="00BE5701"/>
    <w:rsid w:val="00BE6529"/>
    <w:rsid w:val="00BE6DB8"/>
    <w:rsid w:val="00BE7868"/>
    <w:rsid w:val="00BE7A59"/>
    <w:rsid w:val="00BF06A3"/>
    <w:rsid w:val="00BF090F"/>
    <w:rsid w:val="00BF0ACF"/>
    <w:rsid w:val="00BF1582"/>
    <w:rsid w:val="00BF15B1"/>
    <w:rsid w:val="00BF2A3C"/>
    <w:rsid w:val="00BF2AAD"/>
    <w:rsid w:val="00BF3874"/>
    <w:rsid w:val="00BF41E1"/>
    <w:rsid w:val="00BF420C"/>
    <w:rsid w:val="00BF60FA"/>
    <w:rsid w:val="00BF68F6"/>
    <w:rsid w:val="00C000BD"/>
    <w:rsid w:val="00C011C5"/>
    <w:rsid w:val="00C0131C"/>
    <w:rsid w:val="00C03A4B"/>
    <w:rsid w:val="00C042C6"/>
    <w:rsid w:val="00C04879"/>
    <w:rsid w:val="00C0604A"/>
    <w:rsid w:val="00C06707"/>
    <w:rsid w:val="00C06901"/>
    <w:rsid w:val="00C06E9B"/>
    <w:rsid w:val="00C10A58"/>
    <w:rsid w:val="00C10D30"/>
    <w:rsid w:val="00C10F0A"/>
    <w:rsid w:val="00C12A38"/>
    <w:rsid w:val="00C13D50"/>
    <w:rsid w:val="00C14007"/>
    <w:rsid w:val="00C151B2"/>
    <w:rsid w:val="00C156F0"/>
    <w:rsid w:val="00C15D07"/>
    <w:rsid w:val="00C16042"/>
    <w:rsid w:val="00C17742"/>
    <w:rsid w:val="00C20D8C"/>
    <w:rsid w:val="00C223FC"/>
    <w:rsid w:val="00C22863"/>
    <w:rsid w:val="00C23260"/>
    <w:rsid w:val="00C233DD"/>
    <w:rsid w:val="00C24415"/>
    <w:rsid w:val="00C24744"/>
    <w:rsid w:val="00C2643F"/>
    <w:rsid w:val="00C2799D"/>
    <w:rsid w:val="00C301E3"/>
    <w:rsid w:val="00C30F34"/>
    <w:rsid w:val="00C311F3"/>
    <w:rsid w:val="00C31A94"/>
    <w:rsid w:val="00C33600"/>
    <w:rsid w:val="00C33EDF"/>
    <w:rsid w:val="00C346ED"/>
    <w:rsid w:val="00C35336"/>
    <w:rsid w:val="00C35FC5"/>
    <w:rsid w:val="00C3706A"/>
    <w:rsid w:val="00C372AC"/>
    <w:rsid w:val="00C372E1"/>
    <w:rsid w:val="00C400B7"/>
    <w:rsid w:val="00C41869"/>
    <w:rsid w:val="00C4230B"/>
    <w:rsid w:val="00C4248E"/>
    <w:rsid w:val="00C444AA"/>
    <w:rsid w:val="00C4467C"/>
    <w:rsid w:val="00C44BD6"/>
    <w:rsid w:val="00C45A17"/>
    <w:rsid w:val="00C45AE3"/>
    <w:rsid w:val="00C45C8E"/>
    <w:rsid w:val="00C46307"/>
    <w:rsid w:val="00C4775C"/>
    <w:rsid w:val="00C50BD1"/>
    <w:rsid w:val="00C50EB3"/>
    <w:rsid w:val="00C517B0"/>
    <w:rsid w:val="00C53925"/>
    <w:rsid w:val="00C53F00"/>
    <w:rsid w:val="00C54561"/>
    <w:rsid w:val="00C56655"/>
    <w:rsid w:val="00C57E5A"/>
    <w:rsid w:val="00C613B7"/>
    <w:rsid w:val="00C613E1"/>
    <w:rsid w:val="00C6216A"/>
    <w:rsid w:val="00C62808"/>
    <w:rsid w:val="00C62B6B"/>
    <w:rsid w:val="00C6314A"/>
    <w:rsid w:val="00C63257"/>
    <w:rsid w:val="00C636D7"/>
    <w:rsid w:val="00C63CF6"/>
    <w:rsid w:val="00C646F3"/>
    <w:rsid w:val="00C658C8"/>
    <w:rsid w:val="00C662C3"/>
    <w:rsid w:val="00C66BEE"/>
    <w:rsid w:val="00C6729B"/>
    <w:rsid w:val="00C703A8"/>
    <w:rsid w:val="00C707CB"/>
    <w:rsid w:val="00C711F5"/>
    <w:rsid w:val="00C7162A"/>
    <w:rsid w:val="00C720FE"/>
    <w:rsid w:val="00C73249"/>
    <w:rsid w:val="00C73AFA"/>
    <w:rsid w:val="00C73C11"/>
    <w:rsid w:val="00C74FA8"/>
    <w:rsid w:val="00C756A6"/>
    <w:rsid w:val="00C75954"/>
    <w:rsid w:val="00C76B15"/>
    <w:rsid w:val="00C77B7D"/>
    <w:rsid w:val="00C800A8"/>
    <w:rsid w:val="00C80229"/>
    <w:rsid w:val="00C80676"/>
    <w:rsid w:val="00C80D4C"/>
    <w:rsid w:val="00C80DED"/>
    <w:rsid w:val="00C812A6"/>
    <w:rsid w:val="00C8150F"/>
    <w:rsid w:val="00C8192E"/>
    <w:rsid w:val="00C8219B"/>
    <w:rsid w:val="00C82238"/>
    <w:rsid w:val="00C8279D"/>
    <w:rsid w:val="00C82872"/>
    <w:rsid w:val="00C82A7B"/>
    <w:rsid w:val="00C836D7"/>
    <w:rsid w:val="00C839C7"/>
    <w:rsid w:val="00C84096"/>
    <w:rsid w:val="00C843BA"/>
    <w:rsid w:val="00C845D2"/>
    <w:rsid w:val="00C84A08"/>
    <w:rsid w:val="00C85732"/>
    <w:rsid w:val="00C86052"/>
    <w:rsid w:val="00C86136"/>
    <w:rsid w:val="00C862BD"/>
    <w:rsid w:val="00C86EDF"/>
    <w:rsid w:val="00C87448"/>
    <w:rsid w:val="00C87EED"/>
    <w:rsid w:val="00C9008F"/>
    <w:rsid w:val="00C90C91"/>
    <w:rsid w:val="00C910BF"/>
    <w:rsid w:val="00C92BD2"/>
    <w:rsid w:val="00C92E67"/>
    <w:rsid w:val="00C93916"/>
    <w:rsid w:val="00C93A2B"/>
    <w:rsid w:val="00C93FD1"/>
    <w:rsid w:val="00C94DB1"/>
    <w:rsid w:val="00C9544A"/>
    <w:rsid w:val="00C96450"/>
    <w:rsid w:val="00C967C9"/>
    <w:rsid w:val="00C9695A"/>
    <w:rsid w:val="00C96AA4"/>
    <w:rsid w:val="00C97279"/>
    <w:rsid w:val="00CA0E57"/>
    <w:rsid w:val="00CA1FBE"/>
    <w:rsid w:val="00CA28A7"/>
    <w:rsid w:val="00CA2C52"/>
    <w:rsid w:val="00CA35F1"/>
    <w:rsid w:val="00CA4B9F"/>
    <w:rsid w:val="00CA50E0"/>
    <w:rsid w:val="00CA54DC"/>
    <w:rsid w:val="00CA5714"/>
    <w:rsid w:val="00CA65AB"/>
    <w:rsid w:val="00CA7111"/>
    <w:rsid w:val="00CA7207"/>
    <w:rsid w:val="00CA73E4"/>
    <w:rsid w:val="00CA7BE9"/>
    <w:rsid w:val="00CB0891"/>
    <w:rsid w:val="00CB0B6C"/>
    <w:rsid w:val="00CB184C"/>
    <w:rsid w:val="00CB1EC0"/>
    <w:rsid w:val="00CB2320"/>
    <w:rsid w:val="00CB2612"/>
    <w:rsid w:val="00CB2A45"/>
    <w:rsid w:val="00CB300F"/>
    <w:rsid w:val="00CB3971"/>
    <w:rsid w:val="00CB4086"/>
    <w:rsid w:val="00CB5211"/>
    <w:rsid w:val="00CB541C"/>
    <w:rsid w:val="00CB564E"/>
    <w:rsid w:val="00CB602B"/>
    <w:rsid w:val="00CB6674"/>
    <w:rsid w:val="00CB7524"/>
    <w:rsid w:val="00CB75C0"/>
    <w:rsid w:val="00CB777E"/>
    <w:rsid w:val="00CB7B2E"/>
    <w:rsid w:val="00CB7E1F"/>
    <w:rsid w:val="00CC0D37"/>
    <w:rsid w:val="00CC14A8"/>
    <w:rsid w:val="00CC1DE6"/>
    <w:rsid w:val="00CC2200"/>
    <w:rsid w:val="00CC26BE"/>
    <w:rsid w:val="00CC2F49"/>
    <w:rsid w:val="00CC3182"/>
    <w:rsid w:val="00CC49E9"/>
    <w:rsid w:val="00CC4D66"/>
    <w:rsid w:val="00CC5B8D"/>
    <w:rsid w:val="00CC5C9D"/>
    <w:rsid w:val="00CC728E"/>
    <w:rsid w:val="00CC732C"/>
    <w:rsid w:val="00CC7494"/>
    <w:rsid w:val="00CD0EA9"/>
    <w:rsid w:val="00CD198B"/>
    <w:rsid w:val="00CD2107"/>
    <w:rsid w:val="00CD26B9"/>
    <w:rsid w:val="00CD2FEF"/>
    <w:rsid w:val="00CD30D6"/>
    <w:rsid w:val="00CD3447"/>
    <w:rsid w:val="00CD3C65"/>
    <w:rsid w:val="00CD4493"/>
    <w:rsid w:val="00CD5CB3"/>
    <w:rsid w:val="00CD6D7C"/>
    <w:rsid w:val="00CD7122"/>
    <w:rsid w:val="00CD7999"/>
    <w:rsid w:val="00CE05A4"/>
    <w:rsid w:val="00CE069B"/>
    <w:rsid w:val="00CE0F5C"/>
    <w:rsid w:val="00CE15C5"/>
    <w:rsid w:val="00CE2D90"/>
    <w:rsid w:val="00CE3465"/>
    <w:rsid w:val="00CE34DA"/>
    <w:rsid w:val="00CE3CBF"/>
    <w:rsid w:val="00CE4257"/>
    <w:rsid w:val="00CE56CA"/>
    <w:rsid w:val="00CE5D56"/>
    <w:rsid w:val="00CE61AF"/>
    <w:rsid w:val="00CE61F3"/>
    <w:rsid w:val="00CE7D09"/>
    <w:rsid w:val="00CE7FB8"/>
    <w:rsid w:val="00CF01BA"/>
    <w:rsid w:val="00CF07CB"/>
    <w:rsid w:val="00CF0C23"/>
    <w:rsid w:val="00CF2110"/>
    <w:rsid w:val="00CF2339"/>
    <w:rsid w:val="00CF2E12"/>
    <w:rsid w:val="00CF467C"/>
    <w:rsid w:val="00CF4E47"/>
    <w:rsid w:val="00CF534D"/>
    <w:rsid w:val="00CF59A8"/>
    <w:rsid w:val="00CF5EAA"/>
    <w:rsid w:val="00CF6707"/>
    <w:rsid w:val="00CF79C1"/>
    <w:rsid w:val="00CF7E9B"/>
    <w:rsid w:val="00D0027D"/>
    <w:rsid w:val="00D015C5"/>
    <w:rsid w:val="00D01DEA"/>
    <w:rsid w:val="00D03332"/>
    <w:rsid w:val="00D03EB8"/>
    <w:rsid w:val="00D06AD0"/>
    <w:rsid w:val="00D10262"/>
    <w:rsid w:val="00D102DE"/>
    <w:rsid w:val="00D105D5"/>
    <w:rsid w:val="00D10D09"/>
    <w:rsid w:val="00D12CC5"/>
    <w:rsid w:val="00D1301E"/>
    <w:rsid w:val="00D131C1"/>
    <w:rsid w:val="00D136E3"/>
    <w:rsid w:val="00D141E0"/>
    <w:rsid w:val="00D14BA1"/>
    <w:rsid w:val="00D14BF0"/>
    <w:rsid w:val="00D1569C"/>
    <w:rsid w:val="00D156C2"/>
    <w:rsid w:val="00D16BEA"/>
    <w:rsid w:val="00D171F2"/>
    <w:rsid w:val="00D17638"/>
    <w:rsid w:val="00D17A7E"/>
    <w:rsid w:val="00D209D1"/>
    <w:rsid w:val="00D20E83"/>
    <w:rsid w:val="00D21C02"/>
    <w:rsid w:val="00D21D75"/>
    <w:rsid w:val="00D21FD8"/>
    <w:rsid w:val="00D22246"/>
    <w:rsid w:val="00D22AAA"/>
    <w:rsid w:val="00D25270"/>
    <w:rsid w:val="00D2539F"/>
    <w:rsid w:val="00D3078F"/>
    <w:rsid w:val="00D3083C"/>
    <w:rsid w:val="00D30C09"/>
    <w:rsid w:val="00D30E52"/>
    <w:rsid w:val="00D31185"/>
    <w:rsid w:val="00D31D4A"/>
    <w:rsid w:val="00D32459"/>
    <w:rsid w:val="00D32544"/>
    <w:rsid w:val="00D32865"/>
    <w:rsid w:val="00D32BBC"/>
    <w:rsid w:val="00D34D60"/>
    <w:rsid w:val="00D3581A"/>
    <w:rsid w:val="00D359A2"/>
    <w:rsid w:val="00D360FD"/>
    <w:rsid w:val="00D3637A"/>
    <w:rsid w:val="00D3700B"/>
    <w:rsid w:val="00D3728E"/>
    <w:rsid w:val="00D37FE6"/>
    <w:rsid w:val="00D4045D"/>
    <w:rsid w:val="00D40A40"/>
    <w:rsid w:val="00D40C84"/>
    <w:rsid w:val="00D41396"/>
    <w:rsid w:val="00D41436"/>
    <w:rsid w:val="00D41E54"/>
    <w:rsid w:val="00D426CA"/>
    <w:rsid w:val="00D428A8"/>
    <w:rsid w:val="00D43663"/>
    <w:rsid w:val="00D44A37"/>
    <w:rsid w:val="00D45E40"/>
    <w:rsid w:val="00D503BA"/>
    <w:rsid w:val="00D522FB"/>
    <w:rsid w:val="00D52A01"/>
    <w:rsid w:val="00D5337E"/>
    <w:rsid w:val="00D5354C"/>
    <w:rsid w:val="00D53703"/>
    <w:rsid w:val="00D53F27"/>
    <w:rsid w:val="00D54332"/>
    <w:rsid w:val="00D55E26"/>
    <w:rsid w:val="00D56455"/>
    <w:rsid w:val="00D57105"/>
    <w:rsid w:val="00D574B5"/>
    <w:rsid w:val="00D60A65"/>
    <w:rsid w:val="00D60DE8"/>
    <w:rsid w:val="00D61323"/>
    <w:rsid w:val="00D62AB8"/>
    <w:rsid w:val="00D63A8D"/>
    <w:rsid w:val="00D64276"/>
    <w:rsid w:val="00D64ED2"/>
    <w:rsid w:val="00D66136"/>
    <w:rsid w:val="00D66A16"/>
    <w:rsid w:val="00D705EE"/>
    <w:rsid w:val="00D71076"/>
    <w:rsid w:val="00D72281"/>
    <w:rsid w:val="00D73CD5"/>
    <w:rsid w:val="00D751A4"/>
    <w:rsid w:val="00D7619B"/>
    <w:rsid w:val="00D769E7"/>
    <w:rsid w:val="00D76C6C"/>
    <w:rsid w:val="00D7717B"/>
    <w:rsid w:val="00D804A2"/>
    <w:rsid w:val="00D80D91"/>
    <w:rsid w:val="00D82E87"/>
    <w:rsid w:val="00D83E43"/>
    <w:rsid w:val="00D843E3"/>
    <w:rsid w:val="00D845F3"/>
    <w:rsid w:val="00D846A1"/>
    <w:rsid w:val="00D84B8B"/>
    <w:rsid w:val="00D87858"/>
    <w:rsid w:val="00D87D7C"/>
    <w:rsid w:val="00D90E36"/>
    <w:rsid w:val="00D911F4"/>
    <w:rsid w:val="00D91913"/>
    <w:rsid w:val="00D91CE5"/>
    <w:rsid w:val="00D9322F"/>
    <w:rsid w:val="00D938D1"/>
    <w:rsid w:val="00D93E06"/>
    <w:rsid w:val="00D9421A"/>
    <w:rsid w:val="00D9426E"/>
    <w:rsid w:val="00D952CA"/>
    <w:rsid w:val="00D95442"/>
    <w:rsid w:val="00D96A4E"/>
    <w:rsid w:val="00D96CAB"/>
    <w:rsid w:val="00DA0884"/>
    <w:rsid w:val="00DA0D5A"/>
    <w:rsid w:val="00DA1CFE"/>
    <w:rsid w:val="00DA1F63"/>
    <w:rsid w:val="00DA2238"/>
    <w:rsid w:val="00DA2DC0"/>
    <w:rsid w:val="00DA321D"/>
    <w:rsid w:val="00DA34A8"/>
    <w:rsid w:val="00DA354D"/>
    <w:rsid w:val="00DA4190"/>
    <w:rsid w:val="00DA4381"/>
    <w:rsid w:val="00DA5CD4"/>
    <w:rsid w:val="00DA670A"/>
    <w:rsid w:val="00DA6887"/>
    <w:rsid w:val="00DA6D2E"/>
    <w:rsid w:val="00DA7047"/>
    <w:rsid w:val="00DA7BFB"/>
    <w:rsid w:val="00DB032E"/>
    <w:rsid w:val="00DB0750"/>
    <w:rsid w:val="00DB2A56"/>
    <w:rsid w:val="00DB3A99"/>
    <w:rsid w:val="00DB43A9"/>
    <w:rsid w:val="00DB4BD3"/>
    <w:rsid w:val="00DB55F1"/>
    <w:rsid w:val="00DB5DD5"/>
    <w:rsid w:val="00DB6915"/>
    <w:rsid w:val="00DB7C6E"/>
    <w:rsid w:val="00DC013F"/>
    <w:rsid w:val="00DC038F"/>
    <w:rsid w:val="00DC099A"/>
    <w:rsid w:val="00DC09EE"/>
    <w:rsid w:val="00DC0E11"/>
    <w:rsid w:val="00DC1852"/>
    <w:rsid w:val="00DC24FC"/>
    <w:rsid w:val="00DC2A38"/>
    <w:rsid w:val="00DC2EBB"/>
    <w:rsid w:val="00DC3642"/>
    <w:rsid w:val="00DC3E21"/>
    <w:rsid w:val="00DC449F"/>
    <w:rsid w:val="00DC4B97"/>
    <w:rsid w:val="00DC51D2"/>
    <w:rsid w:val="00DC52E3"/>
    <w:rsid w:val="00DC630A"/>
    <w:rsid w:val="00DC783F"/>
    <w:rsid w:val="00DD027F"/>
    <w:rsid w:val="00DD0785"/>
    <w:rsid w:val="00DD1165"/>
    <w:rsid w:val="00DD423A"/>
    <w:rsid w:val="00DD569A"/>
    <w:rsid w:val="00DD58E4"/>
    <w:rsid w:val="00DD5B7B"/>
    <w:rsid w:val="00DD5C7E"/>
    <w:rsid w:val="00DD6693"/>
    <w:rsid w:val="00DD7045"/>
    <w:rsid w:val="00DD72DA"/>
    <w:rsid w:val="00DD7C9C"/>
    <w:rsid w:val="00DE11D6"/>
    <w:rsid w:val="00DE13F9"/>
    <w:rsid w:val="00DE1FC5"/>
    <w:rsid w:val="00DE2282"/>
    <w:rsid w:val="00DE3D52"/>
    <w:rsid w:val="00DE4024"/>
    <w:rsid w:val="00DE4692"/>
    <w:rsid w:val="00DE4C5A"/>
    <w:rsid w:val="00DE51E0"/>
    <w:rsid w:val="00DE6067"/>
    <w:rsid w:val="00DE6608"/>
    <w:rsid w:val="00DE6A11"/>
    <w:rsid w:val="00DE6C7C"/>
    <w:rsid w:val="00DE7461"/>
    <w:rsid w:val="00DE7D8A"/>
    <w:rsid w:val="00DF0DEE"/>
    <w:rsid w:val="00DF204E"/>
    <w:rsid w:val="00DF2395"/>
    <w:rsid w:val="00DF3582"/>
    <w:rsid w:val="00DF3B10"/>
    <w:rsid w:val="00DF3F86"/>
    <w:rsid w:val="00DF4CF8"/>
    <w:rsid w:val="00DF51EE"/>
    <w:rsid w:val="00DF59F5"/>
    <w:rsid w:val="00DF5C88"/>
    <w:rsid w:val="00DF774D"/>
    <w:rsid w:val="00E00105"/>
    <w:rsid w:val="00E02058"/>
    <w:rsid w:val="00E02913"/>
    <w:rsid w:val="00E02AF5"/>
    <w:rsid w:val="00E03803"/>
    <w:rsid w:val="00E046A3"/>
    <w:rsid w:val="00E046AF"/>
    <w:rsid w:val="00E04E62"/>
    <w:rsid w:val="00E059C8"/>
    <w:rsid w:val="00E063C4"/>
    <w:rsid w:val="00E06D4C"/>
    <w:rsid w:val="00E0710A"/>
    <w:rsid w:val="00E0732D"/>
    <w:rsid w:val="00E07C03"/>
    <w:rsid w:val="00E112B3"/>
    <w:rsid w:val="00E11540"/>
    <w:rsid w:val="00E12EAA"/>
    <w:rsid w:val="00E138AC"/>
    <w:rsid w:val="00E15F89"/>
    <w:rsid w:val="00E1753F"/>
    <w:rsid w:val="00E17CFC"/>
    <w:rsid w:val="00E17DE7"/>
    <w:rsid w:val="00E2092A"/>
    <w:rsid w:val="00E209DA"/>
    <w:rsid w:val="00E20C06"/>
    <w:rsid w:val="00E21DD3"/>
    <w:rsid w:val="00E226FE"/>
    <w:rsid w:val="00E22717"/>
    <w:rsid w:val="00E2275A"/>
    <w:rsid w:val="00E23F2F"/>
    <w:rsid w:val="00E24914"/>
    <w:rsid w:val="00E24DAA"/>
    <w:rsid w:val="00E2617F"/>
    <w:rsid w:val="00E269D3"/>
    <w:rsid w:val="00E26FF0"/>
    <w:rsid w:val="00E27E4B"/>
    <w:rsid w:val="00E30093"/>
    <w:rsid w:val="00E305F6"/>
    <w:rsid w:val="00E30F1E"/>
    <w:rsid w:val="00E31B70"/>
    <w:rsid w:val="00E3357D"/>
    <w:rsid w:val="00E33AEF"/>
    <w:rsid w:val="00E34246"/>
    <w:rsid w:val="00E34763"/>
    <w:rsid w:val="00E34CEB"/>
    <w:rsid w:val="00E35DF6"/>
    <w:rsid w:val="00E368A6"/>
    <w:rsid w:val="00E37390"/>
    <w:rsid w:val="00E4061D"/>
    <w:rsid w:val="00E40B7D"/>
    <w:rsid w:val="00E412C1"/>
    <w:rsid w:val="00E4153D"/>
    <w:rsid w:val="00E43DCF"/>
    <w:rsid w:val="00E44EA2"/>
    <w:rsid w:val="00E453F8"/>
    <w:rsid w:val="00E45B60"/>
    <w:rsid w:val="00E47013"/>
    <w:rsid w:val="00E473FE"/>
    <w:rsid w:val="00E47C8E"/>
    <w:rsid w:val="00E50D04"/>
    <w:rsid w:val="00E51412"/>
    <w:rsid w:val="00E519BC"/>
    <w:rsid w:val="00E51A4B"/>
    <w:rsid w:val="00E53368"/>
    <w:rsid w:val="00E54508"/>
    <w:rsid w:val="00E54853"/>
    <w:rsid w:val="00E54A02"/>
    <w:rsid w:val="00E54B6D"/>
    <w:rsid w:val="00E55556"/>
    <w:rsid w:val="00E55B61"/>
    <w:rsid w:val="00E562AF"/>
    <w:rsid w:val="00E56A91"/>
    <w:rsid w:val="00E57621"/>
    <w:rsid w:val="00E6121A"/>
    <w:rsid w:val="00E615ED"/>
    <w:rsid w:val="00E61AE0"/>
    <w:rsid w:val="00E61AE7"/>
    <w:rsid w:val="00E61BB7"/>
    <w:rsid w:val="00E620F0"/>
    <w:rsid w:val="00E6211A"/>
    <w:rsid w:val="00E633F1"/>
    <w:rsid w:val="00E64E4B"/>
    <w:rsid w:val="00E650FF"/>
    <w:rsid w:val="00E65972"/>
    <w:rsid w:val="00E659BF"/>
    <w:rsid w:val="00E65DCB"/>
    <w:rsid w:val="00E65EB2"/>
    <w:rsid w:val="00E65F43"/>
    <w:rsid w:val="00E67944"/>
    <w:rsid w:val="00E67BCD"/>
    <w:rsid w:val="00E703D4"/>
    <w:rsid w:val="00E7137A"/>
    <w:rsid w:val="00E71B4F"/>
    <w:rsid w:val="00E72431"/>
    <w:rsid w:val="00E72733"/>
    <w:rsid w:val="00E7283D"/>
    <w:rsid w:val="00E7291B"/>
    <w:rsid w:val="00E72C98"/>
    <w:rsid w:val="00E74213"/>
    <w:rsid w:val="00E745CA"/>
    <w:rsid w:val="00E755AE"/>
    <w:rsid w:val="00E75E40"/>
    <w:rsid w:val="00E76231"/>
    <w:rsid w:val="00E77386"/>
    <w:rsid w:val="00E81926"/>
    <w:rsid w:val="00E81F68"/>
    <w:rsid w:val="00E82D19"/>
    <w:rsid w:val="00E83850"/>
    <w:rsid w:val="00E84543"/>
    <w:rsid w:val="00E84E01"/>
    <w:rsid w:val="00E84ECC"/>
    <w:rsid w:val="00E85451"/>
    <w:rsid w:val="00E85B8C"/>
    <w:rsid w:val="00E8617D"/>
    <w:rsid w:val="00E86288"/>
    <w:rsid w:val="00E8701E"/>
    <w:rsid w:val="00E87179"/>
    <w:rsid w:val="00E87432"/>
    <w:rsid w:val="00E87DB6"/>
    <w:rsid w:val="00E87F1B"/>
    <w:rsid w:val="00E9087E"/>
    <w:rsid w:val="00E90D5B"/>
    <w:rsid w:val="00E91628"/>
    <w:rsid w:val="00E925B6"/>
    <w:rsid w:val="00E92A48"/>
    <w:rsid w:val="00E93469"/>
    <w:rsid w:val="00E944E7"/>
    <w:rsid w:val="00E94933"/>
    <w:rsid w:val="00E957C4"/>
    <w:rsid w:val="00E9663F"/>
    <w:rsid w:val="00E96651"/>
    <w:rsid w:val="00E97476"/>
    <w:rsid w:val="00EA1688"/>
    <w:rsid w:val="00EA1A20"/>
    <w:rsid w:val="00EA1CF0"/>
    <w:rsid w:val="00EA219E"/>
    <w:rsid w:val="00EA21B0"/>
    <w:rsid w:val="00EA2812"/>
    <w:rsid w:val="00EA2DA7"/>
    <w:rsid w:val="00EA361D"/>
    <w:rsid w:val="00EA3898"/>
    <w:rsid w:val="00EA3B05"/>
    <w:rsid w:val="00EA4828"/>
    <w:rsid w:val="00EA507F"/>
    <w:rsid w:val="00EA61A7"/>
    <w:rsid w:val="00EA6524"/>
    <w:rsid w:val="00EA69F2"/>
    <w:rsid w:val="00EA7433"/>
    <w:rsid w:val="00EB0295"/>
    <w:rsid w:val="00EB0BB6"/>
    <w:rsid w:val="00EB1A07"/>
    <w:rsid w:val="00EB251C"/>
    <w:rsid w:val="00EB349A"/>
    <w:rsid w:val="00EB38DB"/>
    <w:rsid w:val="00EB4D1F"/>
    <w:rsid w:val="00EB6311"/>
    <w:rsid w:val="00EB6549"/>
    <w:rsid w:val="00EB71BE"/>
    <w:rsid w:val="00EB7AFD"/>
    <w:rsid w:val="00EC0525"/>
    <w:rsid w:val="00EC1393"/>
    <w:rsid w:val="00EC17B8"/>
    <w:rsid w:val="00EC3CB1"/>
    <w:rsid w:val="00EC3DE8"/>
    <w:rsid w:val="00EC49E2"/>
    <w:rsid w:val="00EC4EEB"/>
    <w:rsid w:val="00EC4FB4"/>
    <w:rsid w:val="00EC7898"/>
    <w:rsid w:val="00ED08C3"/>
    <w:rsid w:val="00ED13BD"/>
    <w:rsid w:val="00ED16C8"/>
    <w:rsid w:val="00ED1A28"/>
    <w:rsid w:val="00ED1B7A"/>
    <w:rsid w:val="00ED2AD2"/>
    <w:rsid w:val="00ED3128"/>
    <w:rsid w:val="00ED3786"/>
    <w:rsid w:val="00ED3E5F"/>
    <w:rsid w:val="00ED5B29"/>
    <w:rsid w:val="00ED6B2F"/>
    <w:rsid w:val="00ED6B33"/>
    <w:rsid w:val="00ED6B62"/>
    <w:rsid w:val="00EE1148"/>
    <w:rsid w:val="00EE13A6"/>
    <w:rsid w:val="00EE316D"/>
    <w:rsid w:val="00EE5C80"/>
    <w:rsid w:val="00EE65B8"/>
    <w:rsid w:val="00EE70D6"/>
    <w:rsid w:val="00EE72A9"/>
    <w:rsid w:val="00EE7FAD"/>
    <w:rsid w:val="00EF05A9"/>
    <w:rsid w:val="00EF0FB4"/>
    <w:rsid w:val="00EF20F3"/>
    <w:rsid w:val="00EF3394"/>
    <w:rsid w:val="00EF430F"/>
    <w:rsid w:val="00EF46B4"/>
    <w:rsid w:val="00EF5807"/>
    <w:rsid w:val="00EF62F2"/>
    <w:rsid w:val="00EF7508"/>
    <w:rsid w:val="00EF7F72"/>
    <w:rsid w:val="00F00ED1"/>
    <w:rsid w:val="00F01048"/>
    <w:rsid w:val="00F011C9"/>
    <w:rsid w:val="00F01628"/>
    <w:rsid w:val="00F01D4D"/>
    <w:rsid w:val="00F02B89"/>
    <w:rsid w:val="00F03227"/>
    <w:rsid w:val="00F0373F"/>
    <w:rsid w:val="00F04344"/>
    <w:rsid w:val="00F04D9D"/>
    <w:rsid w:val="00F06233"/>
    <w:rsid w:val="00F13D0F"/>
    <w:rsid w:val="00F13DDB"/>
    <w:rsid w:val="00F14631"/>
    <w:rsid w:val="00F15959"/>
    <w:rsid w:val="00F159A9"/>
    <w:rsid w:val="00F160C2"/>
    <w:rsid w:val="00F16485"/>
    <w:rsid w:val="00F1653B"/>
    <w:rsid w:val="00F1703C"/>
    <w:rsid w:val="00F173C8"/>
    <w:rsid w:val="00F17712"/>
    <w:rsid w:val="00F20719"/>
    <w:rsid w:val="00F20DC9"/>
    <w:rsid w:val="00F211D6"/>
    <w:rsid w:val="00F21690"/>
    <w:rsid w:val="00F218A8"/>
    <w:rsid w:val="00F21BAA"/>
    <w:rsid w:val="00F21CFF"/>
    <w:rsid w:val="00F2240A"/>
    <w:rsid w:val="00F2336B"/>
    <w:rsid w:val="00F23C4C"/>
    <w:rsid w:val="00F24A99"/>
    <w:rsid w:val="00F25FD5"/>
    <w:rsid w:val="00F274C9"/>
    <w:rsid w:val="00F27AE1"/>
    <w:rsid w:val="00F30BE7"/>
    <w:rsid w:val="00F323B3"/>
    <w:rsid w:val="00F335C9"/>
    <w:rsid w:val="00F3392F"/>
    <w:rsid w:val="00F33AC2"/>
    <w:rsid w:val="00F34411"/>
    <w:rsid w:val="00F34F1C"/>
    <w:rsid w:val="00F35ED6"/>
    <w:rsid w:val="00F35FE1"/>
    <w:rsid w:val="00F362BF"/>
    <w:rsid w:val="00F366BB"/>
    <w:rsid w:val="00F36FA5"/>
    <w:rsid w:val="00F376A2"/>
    <w:rsid w:val="00F37C2D"/>
    <w:rsid w:val="00F402C5"/>
    <w:rsid w:val="00F40645"/>
    <w:rsid w:val="00F41785"/>
    <w:rsid w:val="00F41E00"/>
    <w:rsid w:val="00F42986"/>
    <w:rsid w:val="00F42A0D"/>
    <w:rsid w:val="00F4385D"/>
    <w:rsid w:val="00F43DA3"/>
    <w:rsid w:val="00F43E8A"/>
    <w:rsid w:val="00F43F09"/>
    <w:rsid w:val="00F440A8"/>
    <w:rsid w:val="00F442AC"/>
    <w:rsid w:val="00F442D1"/>
    <w:rsid w:val="00F44934"/>
    <w:rsid w:val="00F45081"/>
    <w:rsid w:val="00F45572"/>
    <w:rsid w:val="00F45924"/>
    <w:rsid w:val="00F45AD9"/>
    <w:rsid w:val="00F45D7F"/>
    <w:rsid w:val="00F45DCA"/>
    <w:rsid w:val="00F462DF"/>
    <w:rsid w:val="00F46AEC"/>
    <w:rsid w:val="00F46D1A"/>
    <w:rsid w:val="00F47209"/>
    <w:rsid w:val="00F47604"/>
    <w:rsid w:val="00F51376"/>
    <w:rsid w:val="00F51678"/>
    <w:rsid w:val="00F52573"/>
    <w:rsid w:val="00F53D75"/>
    <w:rsid w:val="00F553D5"/>
    <w:rsid w:val="00F5626C"/>
    <w:rsid w:val="00F56532"/>
    <w:rsid w:val="00F56638"/>
    <w:rsid w:val="00F605FD"/>
    <w:rsid w:val="00F61D7C"/>
    <w:rsid w:val="00F64083"/>
    <w:rsid w:val="00F6418B"/>
    <w:rsid w:val="00F647A4"/>
    <w:rsid w:val="00F64F9D"/>
    <w:rsid w:val="00F65508"/>
    <w:rsid w:val="00F65E22"/>
    <w:rsid w:val="00F66168"/>
    <w:rsid w:val="00F676EE"/>
    <w:rsid w:val="00F67F62"/>
    <w:rsid w:val="00F70569"/>
    <w:rsid w:val="00F7095D"/>
    <w:rsid w:val="00F71144"/>
    <w:rsid w:val="00F719E8"/>
    <w:rsid w:val="00F71C27"/>
    <w:rsid w:val="00F721CB"/>
    <w:rsid w:val="00F721DD"/>
    <w:rsid w:val="00F72762"/>
    <w:rsid w:val="00F72C3D"/>
    <w:rsid w:val="00F73A98"/>
    <w:rsid w:val="00F73D5B"/>
    <w:rsid w:val="00F74B5D"/>
    <w:rsid w:val="00F75200"/>
    <w:rsid w:val="00F75947"/>
    <w:rsid w:val="00F75D9B"/>
    <w:rsid w:val="00F77DD5"/>
    <w:rsid w:val="00F801A6"/>
    <w:rsid w:val="00F80B3B"/>
    <w:rsid w:val="00F822E6"/>
    <w:rsid w:val="00F82773"/>
    <w:rsid w:val="00F8297F"/>
    <w:rsid w:val="00F82CEA"/>
    <w:rsid w:val="00F82E72"/>
    <w:rsid w:val="00F8302A"/>
    <w:rsid w:val="00F830DE"/>
    <w:rsid w:val="00F83742"/>
    <w:rsid w:val="00F83CF0"/>
    <w:rsid w:val="00F84202"/>
    <w:rsid w:val="00F84600"/>
    <w:rsid w:val="00F84BE5"/>
    <w:rsid w:val="00F852FD"/>
    <w:rsid w:val="00F863A0"/>
    <w:rsid w:val="00F8716B"/>
    <w:rsid w:val="00F87A95"/>
    <w:rsid w:val="00F90B96"/>
    <w:rsid w:val="00F922A1"/>
    <w:rsid w:val="00F92D69"/>
    <w:rsid w:val="00F946BF"/>
    <w:rsid w:val="00F949B3"/>
    <w:rsid w:val="00F94C8A"/>
    <w:rsid w:val="00F95059"/>
    <w:rsid w:val="00F972B6"/>
    <w:rsid w:val="00FA05F0"/>
    <w:rsid w:val="00FA13F9"/>
    <w:rsid w:val="00FA15A9"/>
    <w:rsid w:val="00FA1987"/>
    <w:rsid w:val="00FA1AB1"/>
    <w:rsid w:val="00FA21F2"/>
    <w:rsid w:val="00FA2303"/>
    <w:rsid w:val="00FA2502"/>
    <w:rsid w:val="00FA2A85"/>
    <w:rsid w:val="00FA3257"/>
    <w:rsid w:val="00FA3915"/>
    <w:rsid w:val="00FA3A20"/>
    <w:rsid w:val="00FA4984"/>
    <w:rsid w:val="00FA5FEA"/>
    <w:rsid w:val="00FA6202"/>
    <w:rsid w:val="00FA7469"/>
    <w:rsid w:val="00FA766D"/>
    <w:rsid w:val="00FA7938"/>
    <w:rsid w:val="00FA7FFA"/>
    <w:rsid w:val="00FB097D"/>
    <w:rsid w:val="00FB0A10"/>
    <w:rsid w:val="00FB1771"/>
    <w:rsid w:val="00FB18DB"/>
    <w:rsid w:val="00FB1F14"/>
    <w:rsid w:val="00FB221B"/>
    <w:rsid w:val="00FB2F56"/>
    <w:rsid w:val="00FB37FA"/>
    <w:rsid w:val="00FB4816"/>
    <w:rsid w:val="00FB5511"/>
    <w:rsid w:val="00FB6600"/>
    <w:rsid w:val="00FB6F1A"/>
    <w:rsid w:val="00FB70D5"/>
    <w:rsid w:val="00FB724E"/>
    <w:rsid w:val="00FB7A3E"/>
    <w:rsid w:val="00FB7AFF"/>
    <w:rsid w:val="00FC02BC"/>
    <w:rsid w:val="00FC073B"/>
    <w:rsid w:val="00FC07E9"/>
    <w:rsid w:val="00FC12BF"/>
    <w:rsid w:val="00FC16BD"/>
    <w:rsid w:val="00FC1A69"/>
    <w:rsid w:val="00FC22C3"/>
    <w:rsid w:val="00FC2CC5"/>
    <w:rsid w:val="00FC346C"/>
    <w:rsid w:val="00FC34E7"/>
    <w:rsid w:val="00FC3B90"/>
    <w:rsid w:val="00FC4317"/>
    <w:rsid w:val="00FC51FC"/>
    <w:rsid w:val="00FC5F91"/>
    <w:rsid w:val="00FC6ACE"/>
    <w:rsid w:val="00FC6BDE"/>
    <w:rsid w:val="00FD0ACA"/>
    <w:rsid w:val="00FD0C44"/>
    <w:rsid w:val="00FD1051"/>
    <w:rsid w:val="00FD1821"/>
    <w:rsid w:val="00FD19D9"/>
    <w:rsid w:val="00FD2F0C"/>
    <w:rsid w:val="00FD3F17"/>
    <w:rsid w:val="00FD44EB"/>
    <w:rsid w:val="00FD499D"/>
    <w:rsid w:val="00FD52A5"/>
    <w:rsid w:val="00FD5701"/>
    <w:rsid w:val="00FD67F8"/>
    <w:rsid w:val="00FD6DFB"/>
    <w:rsid w:val="00FD6E95"/>
    <w:rsid w:val="00FE019A"/>
    <w:rsid w:val="00FE10C1"/>
    <w:rsid w:val="00FE121C"/>
    <w:rsid w:val="00FE2D85"/>
    <w:rsid w:val="00FE400E"/>
    <w:rsid w:val="00FE4019"/>
    <w:rsid w:val="00FE4A58"/>
    <w:rsid w:val="00FE74C1"/>
    <w:rsid w:val="00FE764A"/>
    <w:rsid w:val="00FF02BD"/>
    <w:rsid w:val="00FF0DF3"/>
    <w:rsid w:val="00FF27DD"/>
    <w:rsid w:val="00FF3F93"/>
    <w:rsid w:val="00FF4D72"/>
    <w:rsid w:val="00FF5723"/>
    <w:rsid w:val="00FF5E3E"/>
    <w:rsid w:val="00FF6D85"/>
    <w:rsid w:val="00FF6E09"/>
    <w:rsid w:val="00FF70BD"/>
    <w:rsid w:val="00FF79B8"/>
    <w:rsid w:val="00FF7C2F"/>
    <w:rsid w:val="00FF7C49"/>
    <w:rsid w:val="01602CF5"/>
    <w:rsid w:val="016417A4"/>
    <w:rsid w:val="02021905"/>
    <w:rsid w:val="022B400A"/>
    <w:rsid w:val="025739FF"/>
    <w:rsid w:val="02A604E3"/>
    <w:rsid w:val="0397679F"/>
    <w:rsid w:val="04A74F63"/>
    <w:rsid w:val="04DC4690"/>
    <w:rsid w:val="05E72902"/>
    <w:rsid w:val="06851D45"/>
    <w:rsid w:val="073A70F4"/>
    <w:rsid w:val="080737D2"/>
    <w:rsid w:val="08E73603"/>
    <w:rsid w:val="09657501"/>
    <w:rsid w:val="096675A1"/>
    <w:rsid w:val="09D965C4"/>
    <w:rsid w:val="0A87769A"/>
    <w:rsid w:val="0A9E0730"/>
    <w:rsid w:val="0B9A193A"/>
    <w:rsid w:val="0C402975"/>
    <w:rsid w:val="0DD00B0A"/>
    <w:rsid w:val="0EAC6E81"/>
    <w:rsid w:val="0EC87A33"/>
    <w:rsid w:val="0FC87CEA"/>
    <w:rsid w:val="0FC93A62"/>
    <w:rsid w:val="10AC537C"/>
    <w:rsid w:val="10C04E65"/>
    <w:rsid w:val="113128A3"/>
    <w:rsid w:val="11A2594D"/>
    <w:rsid w:val="12B26A30"/>
    <w:rsid w:val="138448EE"/>
    <w:rsid w:val="13AB4430"/>
    <w:rsid w:val="141E5640"/>
    <w:rsid w:val="147A4589"/>
    <w:rsid w:val="14B7657F"/>
    <w:rsid w:val="16551BAC"/>
    <w:rsid w:val="16933481"/>
    <w:rsid w:val="169D4BA9"/>
    <w:rsid w:val="17615FE2"/>
    <w:rsid w:val="17751EF0"/>
    <w:rsid w:val="17991F6C"/>
    <w:rsid w:val="17A329A5"/>
    <w:rsid w:val="17E94CA2"/>
    <w:rsid w:val="186F49F4"/>
    <w:rsid w:val="18E77C6E"/>
    <w:rsid w:val="190473A6"/>
    <w:rsid w:val="1907060C"/>
    <w:rsid w:val="191C10A7"/>
    <w:rsid w:val="1B8B42C2"/>
    <w:rsid w:val="1B8D43C2"/>
    <w:rsid w:val="1BA84E74"/>
    <w:rsid w:val="1BE371FF"/>
    <w:rsid w:val="1C2F4C4D"/>
    <w:rsid w:val="1CA60D82"/>
    <w:rsid w:val="1CBB4733"/>
    <w:rsid w:val="1CCA10A1"/>
    <w:rsid w:val="1D4D182F"/>
    <w:rsid w:val="1D5F5A06"/>
    <w:rsid w:val="1D7F1C04"/>
    <w:rsid w:val="1E161CA8"/>
    <w:rsid w:val="1E6325DF"/>
    <w:rsid w:val="1E9D3BAA"/>
    <w:rsid w:val="1FB95F42"/>
    <w:rsid w:val="1FD92149"/>
    <w:rsid w:val="21320BF1"/>
    <w:rsid w:val="21EE1E6F"/>
    <w:rsid w:val="21F229A5"/>
    <w:rsid w:val="2208041A"/>
    <w:rsid w:val="225D02D0"/>
    <w:rsid w:val="22951F2B"/>
    <w:rsid w:val="23D507D0"/>
    <w:rsid w:val="242E5642"/>
    <w:rsid w:val="247E4746"/>
    <w:rsid w:val="25553977"/>
    <w:rsid w:val="258651D9"/>
    <w:rsid w:val="264E77B2"/>
    <w:rsid w:val="26606A77"/>
    <w:rsid w:val="269818CB"/>
    <w:rsid w:val="26C64400"/>
    <w:rsid w:val="28E15ABC"/>
    <w:rsid w:val="29E41DAD"/>
    <w:rsid w:val="2B2362C5"/>
    <w:rsid w:val="2C115C2A"/>
    <w:rsid w:val="2D1C121E"/>
    <w:rsid w:val="2D4C1B03"/>
    <w:rsid w:val="2DAC0ED7"/>
    <w:rsid w:val="2DBD6096"/>
    <w:rsid w:val="2DFF3772"/>
    <w:rsid w:val="2E2959A0"/>
    <w:rsid w:val="2EA119DB"/>
    <w:rsid w:val="2EA8720D"/>
    <w:rsid w:val="2F193C67"/>
    <w:rsid w:val="2F4F7689"/>
    <w:rsid w:val="3010385F"/>
    <w:rsid w:val="30493343"/>
    <w:rsid w:val="309F3114"/>
    <w:rsid w:val="316338F1"/>
    <w:rsid w:val="31A341A1"/>
    <w:rsid w:val="32EE540A"/>
    <w:rsid w:val="333D5A4A"/>
    <w:rsid w:val="34963664"/>
    <w:rsid w:val="34B54432"/>
    <w:rsid w:val="36B14785"/>
    <w:rsid w:val="3904275E"/>
    <w:rsid w:val="39535398"/>
    <w:rsid w:val="39BB0F48"/>
    <w:rsid w:val="3AEC222F"/>
    <w:rsid w:val="3B117EE8"/>
    <w:rsid w:val="3B5B73B5"/>
    <w:rsid w:val="3B934DA1"/>
    <w:rsid w:val="3BC92571"/>
    <w:rsid w:val="3C722C08"/>
    <w:rsid w:val="3D734BAD"/>
    <w:rsid w:val="3D8070DE"/>
    <w:rsid w:val="3D96395C"/>
    <w:rsid w:val="3DA60DBB"/>
    <w:rsid w:val="3E012496"/>
    <w:rsid w:val="3F0A4788"/>
    <w:rsid w:val="3FF45E32"/>
    <w:rsid w:val="40165A25"/>
    <w:rsid w:val="405B62B3"/>
    <w:rsid w:val="41AF2209"/>
    <w:rsid w:val="42366486"/>
    <w:rsid w:val="42650951"/>
    <w:rsid w:val="42B0448A"/>
    <w:rsid w:val="42D17F20"/>
    <w:rsid w:val="434A4CA4"/>
    <w:rsid w:val="435F0674"/>
    <w:rsid w:val="43607C5E"/>
    <w:rsid w:val="43851473"/>
    <w:rsid w:val="446507B5"/>
    <w:rsid w:val="446F4B5A"/>
    <w:rsid w:val="44F56185"/>
    <w:rsid w:val="46412A9C"/>
    <w:rsid w:val="46454873"/>
    <w:rsid w:val="46517D32"/>
    <w:rsid w:val="46524183"/>
    <w:rsid w:val="4685484C"/>
    <w:rsid w:val="46DF533E"/>
    <w:rsid w:val="476627E4"/>
    <w:rsid w:val="47AF70B3"/>
    <w:rsid w:val="47DB60F6"/>
    <w:rsid w:val="48007371"/>
    <w:rsid w:val="480F29BD"/>
    <w:rsid w:val="481E41DD"/>
    <w:rsid w:val="48A71E8C"/>
    <w:rsid w:val="49CF3448"/>
    <w:rsid w:val="4A2B43F6"/>
    <w:rsid w:val="4A3414A3"/>
    <w:rsid w:val="4A4D3158"/>
    <w:rsid w:val="4A525E27"/>
    <w:rsid w:val="4B2E7D0F"/>
    <w:rsid w:val="4B4F2EA8"/>
    <w:rsid w:val="4BBF129A"/>
    <w:rsid w:val="4BE64A79"/>
    <w:rsid w:val="4BEA13E8"/>
    <w:rsid w:val="4C7F0BBC"/>
    <w:rsid w:val="4E964534"/>
    <w:rsid w:val="4E9904C8"/>
    <w:rsid w:val="4ED80FF1"/>
    <w:rsid w:val="50E460E7"/>
    <w:rsid w:val="50F84E49"/>
    <w:rsid w:val="512F24BD"/>
    <w:rsid w:val="51AB19F3"/>
    <w:rsid w:val="527739B0"/>
    <w:rsid w:val="532F31A9"/>
    <w:rsid w:val="54E10BCC"/>
    <w:rsid w:val="556E58DC"/>
    <w:rsid w:val="55BF0815"/>
    <w:rsid w:val="56150435"/>
    <w:rsid w:val="5649168B"/>
    <w:rsid w:val="56946D75"/>
    <w:rsid w:val="57032983"/>
    <w:rsid w:val="572867C0"/>
    <w:rsid w:val="57DE6F4C"/>
    <w:rsid w:val="583D1EC5"/>
    <w:rsid w:val="58733B38"/>
    <w:rsid w:val="58896EB8"/>
    <w:rsid w:val="589645C5"/>
    <w:rsid w:val="58B954A6"/>
    <w:rsid w:val="593241DC"/>
    <w:rsid w:val="5A4237C2"/>
    <w:rsid w:val="5C6F4617"/>
    <w:rsid w:val="5D015BB7"/>
    <w:rsid w:val="5D8D11F8"/>
    <w:rsid w:val="5E361EA8"/>
    <w:rsid w:val="5E3873B6"/>
    <w:rsid w:val="5E48511F"/>
    <w:rsid w:val="5E934209"/>
    <w:rsid w:val="5F0B6879"/>
    <w:rsid w:val="5F6661A5"/>
    <w:rsid w:val="608508AD"/>
    <w:rsid w:val="609C2252"/>
    <w:rsid w:val="61DB3803"/>
    <w:rsid w:val="62E55633"/>
    <w:rsid w:val="637D3ABD"/>
    <w:rsid w:val="6397692D"/>
    <w:rsid w:val="63D538F9"/>
    <w:rsid w:val="64B259E8"/>
    <w:rsid w:val="6525230A"/>
    <w:rsid w:val="660157E7"/>
    <w:rsid w:val="66564156"/>
    <w:rsid w:val="67580891"/>
    <w:rsid w:val="684352D5"/>
    <w:rsid w:val="696C388B"/>
    <w:rsid w:val="6AAA163C"/>
    <w:rsid w:val="6AFD0C5A"/>
    <w:rsid w:val="6B0F40C4"/>
    <w:rsid w:val="6B1747F7"/>
    <w:rsid w:val="6BC10727"/>
    <w:rsid w:val="6BFB7C75"/>
    <w:rsid w:val="6C4924BE"/>
    <w:rsid w:val="6D8E6FF3"/>
    <w:rsid w:val="6E8403F6"/>
    <w:rsid w:val="6EF47329"/>
    <w:rsid w:val="6EF966EE"/>
    <w:rsid w:val="6F814935"/>
    <w:rsid w:val="6FB14B95"/>
    <w:rsid w:val="6FDD109B"/>
    <w:rsid w:val="705F6A24"/>
    <w:rsid w:val="70BC724E"/>
    <w:rsid w:val="71CA468E"/>
    <w:rsid w:val="72001A8A"/>
    <w:rsid w:val="725C373A"/>
    <w:rsid w:val="734A2B4E"/>
    <w:rsid w:val="737A3B75"/>
    <w:rsid w:val="74857241"/>
    <w:rsid w:val="74B45308"/>
    <w:rsid w:val="74F040EF"/>
    <w:rsid w:val="757B6B58"/>
    <w:rsid w:val="75E90354"/>
    <w:rsid w:val="764010A6"/>
    <w:rsid w:val="764D585F"/>
    <w:rsid w:val="764F3097"/>
    <w:rsid w:val="768B6DA1"/>
    <w:rsid w:val="76AA4771"/>
    <w:rsid w:val="76B53304"/>
    <w:rsid w:val="76FD0D45"/>
    <w:rsid w:val="793547C6"/>
    <w:rsid w:val="7AEF309B"/>
    <w:rsid w:val="7C2823C0"/>
    <w:rsid w:val="7CA67789"/>
    <w:rsid w:val="7CB41E33"/>
    <w:rsid w:val="7D1F7C67"/>
    <w:rsid w:val="7DC15E87"/>
    <w:rsid w:val="7E755665"/>
    <w:rsid w:val="7E906136"/>
    <w:rsid w:val="7F1F4B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iPriority="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imes New Roman" w:hAnsi="Times New Roman" w:eastAsia="宋体" w:cs="Times New Roman"/>
      <w:kern w:val="2"/>
      <w:sz w:val="21"/>
      <w:szCs w:val="32"/>
      <w:lang w:val="en-US" w:eastAsia="zh-CN" w:bidi="ar-SA"/>
    </w:rPr>
  </w:style>
  <w:style w:type="paragraph" w:styleId="2">
    <w:name w:val="heading 1"/>
    <w:next w:val="1"/>
    <w:qFormat/>
    <w:uiPriority w:val="0"/>
    <w:pPr>
      <w:keepNext w:val="0"/>
      <w:keepLines w:val="0"/>
      <w:widowControl w:val="0"/>
      <w:spacing w:before="240" w:beforeLines="0" w:after="120" w:line="360" w:lineRule="auto"/>
      <w:jc w:val="left"/>
      <w:outlineLvl w:val="0"/>
    </w:pPr>
    <w:rPr>
      <w:rFonts w:ascii="方正黑体_GBK" w:hAnsi="方正黑体_GBK" w:eastAsia="方正黑体_GBK" w:cs="宋体"/>
      <w:b/>
      <w:bCs/>
      <w:kern w:val="44"/>
      <w:sz w:val="32"/>
      <w:szCs w:val="32"/>
    </w:rPr>
  </w:style>
  <w:style w:type="paragraph" w:styleId="3">
    <w:name w:val="heading 2"/>
    <w:basedOn w:val="1"/>
    <w:next w:val="1"/>
    <w:qFormat/>
    <w:uiPriority w:val="0"/>
    <w:pPr>
      <w:keepNext w:val="0"/>
      <w:keepLines w:val="0"/>
      <w:widowControl w:val="0"/>
      <w:spacing w:before="120" w:beforeAutospacing="0" w:after="120" w:afterAutospacing="0" w:line="360" w:lineRule="auto"/>
      <w:jc w:val="left"/>
      <w:outlineLvl w:val="1"/>
    </w:pPr>
    <w:rPr>
      <w:rFonts w:ascii="方正楷体_GBK" w:hAnsi="方正楷体_GBK" w:eastAsia="方正楷体_GBK" w:cs="Times New Roman"/>
      <w:b/>
      <w:sz w:val="32"/>
      <w:szCs w:val="32"/>
    </w:rPr>
  </w:style>
  <w:style w:type="paragraph" w:styleId="4">
    <w:name w:val="heading 3"/>
    <w:next w:val="1"/>
    <w:qFormat/>
    <w:uiPriority w:val="0"/>
    <w:pPr>
      <w:keepNext w:val="0"/>
      <w:keepLines w:val="0"/>
      <w:widowControl w:val="0"/>
      <w:spacing w:before="120" w:beforeAutospacing="0" w:after="120" w:afterAutospacing="0" w:line="360" w:lineRule="auto"/>
      <w:jc w:val="left"/>
      <w:outlineLvl w:val="2"/>
    </w:pPr>
    <w:rPr>
      <w:rFonts w:ascii="方正仿宋_GBK" w:hAnsi="方正仿宋_GBK" w:eastAsia="方正仿宋_GBK" w:cs="Times New Roman"/>
      <w:b/>
      <w:sz w:val="32"/>
      <w:szCs w:val="32"/>
    </w:rPr>
  </w:style>
  <w:style w:type="paragraph" w:styleId="5">
    <w:name w:val="heading 4"/>
    <w:next w:val="1"/>
    <w:qFormat/>
    <w:uiPriority w:val="0"/>
    <w:pPr>
      <w:keepNext w:val="0"/>
      <w:keepLines w:val="0"/>
      <w:widowControl w:val="0"/>
      <w:spacing w:before="120" w:beforeAutospacing="0" w:after="120" w:afterAutospacing="0" w:line="360" w:lineRule="auto"/>
      <w:outlineLvl w:val="3"/>
    </w:pPr>
    <w:rPr>
      <w:rFonts w:ascii="Times New Roman" w:hAnsi="Times New Roman" w:eastAsia="宋体" w:cs="Times New Roman"/>
      <w:b/>
      <w:sz w:val="24"/>
      <w:szCs w:val="32"/>
    </w:rPr>
  </w:style>
  <w:style w:type="paragraph" w:styleId="6">
    <w:name w:val="heading 5"/>
    <w:next w:val="1"/>
    <w:qFormat/>
    <w:uiPriority w:val="0"/>
    <w:pPr>
      <w:keepNext w:val="0"/>
      <w:keepLines w:val="0"/>
      <w:widowControl w:val="0"/>
      <w:spacing w:beforeLines="0" w:beforeAutospacing="0" w:after="120" w:afterLines="0" w:afterAutospacing="0" w:line="300" w:lineRule="auto"/>
      <w:jc w:val="left"/>
      <w:outlineLvl w:val="4"/>
    </w:pPr>
    <w:rPr>
      <w:rFonts w:ascii="Times New Roman" w:hAnsi="Times New Roman" w:eastAsia="宋体" w:cs="Times New Roman"/>
      <w:sz w:val="24"/>
      <w:szCs w:val="32"/>
    </w:rPr>
  </w:style>
  <w:style w:type="paragraph" w:styleId="7">
    <w:name w:val="heading 6"/>
    <w:next w:val="1"/>
    <w:semiHidden/>
    <w:unhideWhenUsed/>
    <w:qFormat/>
    <w:uiPriority w:val="0"/>
    <w:pPr>
      <w:keepNext w:val="0"/>
      <w:keepLines w:val="0"/>
      <w:widowControl w:val="0"/>
      <w:spacing w:beforeLines="0" w:beforeAutospacing="0" w:after="120" w:afterLines="0" w:afterAutospacing="0" w:line="300" w:lineRule="auto"/>
      <w:jc w:val="left"/>
      <w:outlineLvl w:val="5"/>
    </w:pPr>
    <w:rPr>
      <w:rFonts w:ascii="Times New Roman" w:hAnsi="Times New Roman" w:eastAsia="宋体" w:cs="Times New Roman"/>
      <w:sz w:val="24"/>
      <w:szCs w:val="32"/>
    </w:rPr>
  </w:style>
  <w:style w:type="paragraph" w:styleId="8">
    <w:name w:val="heading 7"/>
    <w:next w:val="1"/>
    <w:semiHidden/>
    <w:unhideWhenUsed/>
    <w:qFormat/>
    <w:uiPriority w:val="0"/>
    <w:pPr>
      <w:keepNext w:val="0"/>
      <w:keepLines w:val="0"/>
      <w:widowControl w:val="0"/>
      <w:spacing w:beforeLines="0" w:beforeAutospacing="0" w:after="120" w:afterLines="0" w:afterAutospacing="0" w:line="300" w:lineRule="auto"/>
      <w:jc w:val="left"/>
      <w:outlineLvl w:val="6"/>
    </w:pPr>
    <w:rPr>
      <w:rFonts w:ascii="Times New Roman" w:hAnsi="Times New Roman" w:eastAsia="宋体" w:cs="Times New Roman"/>
      <w:sz w:val="24"/>
      <w:szCs w:val="32"/>
    </w:rPr>
  </w:style>
  <w:style w:type="paragraph" w:styleId="9">
    <w:name w:val="heading 8"/>
    <w:next w:val="1"/>
    <w:semiHidden/>
    <w:unhideWhenUsed/>
    <w:qFormat/>
    <w:uiPriority w:val="0"/>
    <w:pPr>
      <w:keepNext w:val="0"/>
      <w:keepLines w:val="0"/>
      <w:widowControl w:val="0"/>
      <w:spacing w:beforeLines="0" w:beforeAutospacing="0" w:after="120" w:afterLines="0" w:afterAutospacing="0" w:line="300" w:lineRule="auto"/>
      <w:jc w:val="left"/>
      <w:outlineLvl w:val="7"/>
    </w:pPr>
    <w:rPr>
      <w:rFonts w:ascii="Times New Roman" w:hAnsi="Times New Roman" w:eastAsia="宋体" w:cs="Times New Roman"/>
      <w:sz w:val="24"/>
      <w:szCs w:val="32"/>
    </w:rPr>
  </w:style>
  <w:style w:type="paragraph" w:styleId="10">
    <w:name w:val="heading 9"/>
    <w:next w:val="1"/>
    <w:semiHidden/>
    <w:unhideWhenUsed/>
    <w:qFormat/>
    <w:uiPriority w:val="0"/>
    <w:pPr>
      <w:keepNext w:val="0"/>
      <w:keepLines w:val="0"/>
      <w:widowControl w:val="0"/>
      <w:spacing w:beforeLines="0" w:beforeAutospacing="0" w:after="120" w:afterLines="0" w:afterAutospacing="0" w:line="300" w:lineRule="auto"/>
      <w:jc w:val="left"/>
      <w:outlineLvl w:val="8"/>
    </w:pPr>
    <w:rPr>
      <w:rFonts w:ascii="Times New Roman" w:hAnsi="Times New Roman" w:eastAsia="宋体" w:cs="Times New Roman"/>
      <w:sz w:val="24"/>
      <w:szCs w:val="32"/>
    </w:rPr>
  </w:style>
  <w:style w:type="character" w:default="1" w:styleId="50">
    <w:name w:val="Default Paragraph Font"/>
    <w:link w:val="51"/>
    <w:semiHidden/>
    <w:qFormat/>
    <w:uiPriority w:val="0"/>
  </w:style>
  <w:style w:type="table" w:default="1" w:styleId="48">
    <w:name w:val="Normal Table"/>
    <w:semiHidden/>
    <w:qFormat/>
    <w:uiPriority w:val="0"/>
    <w:tblPr>
      <w:tblCellMar>
        <w:top w:w="0" w:type="dxa"/>
        <w:left w:w="108" w:type="dxa"/>
        <w:bottom w:w="0" w:type="dxa"/>
        <w:right w:w="108" w:type="dxa"/>
      </w:tblCellMar>
    </w:tblPr>
  </w:style>
  <w:style w:type="paragraph" w:styleId="11">
    <w:name w:val="toc 7"/>
    <w:basedOn w:val="1"/>
    <w:next w:val="1"/>
    <w:semiHidden/>
    <w:qFormat/>
    <w:uiPriority w:val="0"/>
    <w:pPr>
      <w:ind w:left="1260"/>
      <w:jc w:val="left"/>
    </w:pPr>
    <w:rPr>
      <w:szCs w:val="21"/>
    </w:rPr>
  </w:style>
  <w:style w:type="paragraph" w:styleId="12">
    <w:name w:val="index 8"/>
    <w:basedOn w:val="1"/>
    <w:next w:val="1"/>
    <w:semiHidden/>
    <w:qFormat/>
    <w:uiPriority w:val="0"/>
    <w:pPr>
      <w:ind w:left="1400" w:leftChars="1400"/>
    </w:pPr>
  </w:style>
  <w:style w:type="paragraph" w:styleId="13">
    <w:name w:val="Normal Indent"/>
    <w:basedOn w:val="1"/>
    <w:qFormat/>
    <w:uiPriority w:val="0"/>
    <w:pPr>
      <w:ind w:firstLine="420"/>
    </w:pPr>
  </w:style>
  <w:style w:type="paragraph" w:styleId="14">
    <w:name w:val="index 5"/>
    <w:basedOn w:val="1"/>
    <w:next w:val="1"/>
    <w:semiHidden/>
    <w:qFormat/>
    <w:uiPriority w:val="0"/>
    <w:pPr>
      <w:ind w:left="800" w:leftChars="800"/>
    </w:pPr>
  </w:style>
  <w:style w:type="paragraph" w:styleId="15">
    <w:name w:val="annotation text"/>
    <w:basedOn w:val="1"/>
    <w:unhideWhenUsed/>
    <w:qFormat/>
    <w:uiPriority w:val="99"/>
    <w:pPr>
      <w:jc w:val="left"/>
    </w:pPr>
  </w:style>
  <w:style w:type="paragraph" w:styleId="16">
    <w:name w:val="index 6"/>
    <w:basedOn w:val="1"/>
    <w:next w:val="1"/>
    <w:semiHidden/>
    <w:qFormat/>
    <w:uiPriority w:val="0"/>
    <w:pPr>
      <w:ind w:left="1000" w:leftChars="1000"/>
    </w:pPr>
  </w:style>
  <w:style w:type="paragraph" w:styleId="17">
    <w:name w:val="Body Text"/>
    <w:qFormat/>
    <w:uiPriority w:val="0"/>
    <w:pPr>
      <w:widowControl w:val="0"/>
      <w:spacing w:after="120" w:afterLines="0" w:afterAutospacing="0" w:line="300" w:lineRule="auto"/>
      <w:ind w:firstLine="420" w:firstLineChars="200"/>
    </w:pPr>
    <w:rPr>
      <w:rFonts w:ascii="Times New Roman" w:hAnsi="Times New Roman" w:eastAsia="宋体" w:cs="Times New Roman"/>
      <w:sz w:val="24"/>
      <w:szCs w:val="32"/>
    </w:rPr>
  </w:style>
  <w:style w:type="paragraph" w:styleId="18">
    <w:name w:val="Body Text Indent"/>
    <w:basedOn w:val="1"/>
    <w:qFormat/>
    <w:uiPriority w:val="0"/>
    <w:pPr>
      <w:adjustRightInd w:val="0"/>
      <w:spacing w:line="312" w:lineRule="atLeast"/>
      <w:ind w:firstLine="574"/>
      <w:textAlignment w:val="baseline"/>
    </w:pPr>
    <w:rPr>
      <w:rFonts w:ascii="宋体"/>
      <w:kern w:val="0"/>
      <w:sz w:val="28"/>
    </w:rPr>
  </w:style>
  <w:style w:type="paragraph" w:styleId="19">
    <w:name w:val="List 2"/>
    <w:basedOn w:val="1"/>
    <w:qFormat/>
    <w:uiPriority w:val="0"/>
    <w:pPr>
      <w:tabs>
        <w:tab w:val="left" w:pos="0"/>
      </w:tabs>
      <w:ind w:left="100" w:leftChars="200" w:hanging="200" w:hangingChars="200"/>
    </w:pPr>
  </w:style>
  <w:style w:type="paragraph" w:styleId="20">
    <w:name w:val="Block Text"/>
    <w:basedOn w:val="1"/>
    <w:qFormat/>
    <w:uiPriority w:val="0"/>
    <w:pPr>
      <w:tabs>
        <w:tab w:val="left" w:pos="822"/>
        <w:tab w:val="left" w:pos="2205"/>
        <w:tab w:val="left" w:pos="9000"/>
      </w:tabs>
      <w:adjustRightInd w:val="0"/>
      <w:snapToGrid w:val="0"/>
      <w:spacing w:before="89"/>
      <w:ind w:left="1890" w:leftChars="229" w:right="11" w:hanging="1409" w:hangingChars="587"/>
    </w:pPr>
    <w:rPr>
      <w:sz w:val="24"/>
    </w:rPr>
  </w:style>
  <w:style w:type="paragraph" w:styleId="21">
    <w:name w:val="List Bullet 2"/>
    <w:basedOn w:val="1"/>
    <w:qFormat/>
    <w:uiPriority w:val="0"/>
    <w:pPr>
      <w:numPr>
        <w:ilvl w:val="0"/>
        <w:numId w:val="1"/>
      </w:numPr>
    </w:pPr>
  </w:style>
  <w:style w:type="paragraph" w:styleId="22">
    <w:name w:val="index 4"/>
    <w:basedOn w:val="1"/>
    <w:next w:val="1"/>
    <w:semiHidden/>
    <w:qFormat/>
    <w:uiPriority w:val="0"/>
    <w:pPr>
      <w:ind w:left="600" w:leftChars="600"/>
    </w:pPr>
  </w:style>
  <w:style w:type="paragraph" w:styleId="23">
    <w:name w:val="toc 5"/>
    <w:basedOn w:val="1"/>
    <w:next w:val="1"/>
    <w:semiHidden/>
    <w:qFormat/>
    <w:uiPriority w:val="0"/>
    <w:pPr>
      <w:ind w:left="840"/>
      <w:jc w:val="left"/>
    </w:pPr>
    <w:rPr>
      <w:szCs w:val="21"/>
    </w:rPr>
  </w:style>
  <w:style w:type="paragraph" w:styleId="24">
    <w:name w:val="toc 3"/>
    <w:basedOn w:val="1"/>
    <w:next w:val="1"/>
    <w:semiHidden/>
    <w:qFormat/>
    <w:uiPriority w:val="0"/>
    <w:pPr>
      <w:ind w:left="420"/>
      <w:jc w:val="left"/>
    </w:pPr>
    <w:rPr>
      <w:i/>
      <w:iCs/>
      <w:szCs w:val="24"/>
    </w:rPr>
  </w:style>
  <w:style w:type="paragraph" w:styleId="25">
    <w:name w:val="Plain Text"/>
    <w:basedOn w:val="1"/>
    <w:qFormat/>
    <w:uiPriority w:val="0"/>
    <w:rPr>
      <w:rFonts w:ascii="宋体" w:hAnsi="Courier New"/>
    </w:rPr>
  </w:style>
  <w:style w:type="paragraph" w:styleId="26">
    <w:name w:val="toc 8"/>
    <w:basedOn w:val="1"/>
    <w:next w:val="1"/>
    <w:semiHidden/>
    <w:qFormat/>
    <w:uiPriority w:val="0"/>
    <w:pPr>
      <w:ind w:left="1470"/>
      <w:jc w:val="left"/>
    </w:pPr>
    <w:rPr>
      <w:szCs w:val="21"/>
    </w:rPr>
  </w:style>
  <w:style w:type="paragraph" w:styleId="27">
    <w:name w:val="index 3"/>
    <w:basedOn w:val="1"/>
    <w:next w:val="1"/>
    <w:semiHidden/>
    <w:qFormat/>
    <w:uiPriority w:val="0"/>
    <w:pPr>
      <w:ind w:left="400" w:leftChars="400"/>
    </w:pPr>
  </w:style>
  <w:style w:type="paragraph" w:styleId="28">
    <w:name w:val="Date"/>
    <w:basedOn w:val="1"/>
    <w:next w:val="1"/>
    <w:qFormat/>
    <w:uiPriority w:val="0"/>
    <w:pPr>
      <w:adjustRightInd w:val="0"/>
      <w:spacing w:line="312" w:lineRule="atLeast"/>
      <w:textAlignment w:val="baseline"/>
    </w:pPr>
    <w:rPr>
      <w:rFonts w:ascii="宋体"/>
      <w:kern w:val="0"/>
      <w:sz w:val="28"/>
    </w:rPr>
  </w:style>
  <w:style w:type="paragraph" w:styleId="29">
    <w:name w:val="Body Text Indent 2"/>
    <w:basedOn w:val="1"/>
    <w:link w:val="62"/>
    <w:qFormat/>
    <w:uiPriority w:val="0"/>
    <w:pPr>
      <w:tabs>
        <w:tab w:val="left" w:pos="1785"/>
        <w:tab w:val="left" w:pos="1887"/>
        <w:tab w:val="left" w:pos="2112"/>
        <w:tab w:val="left" w:pos="9000"/>
      </w:tabs>
      <w:adjustRightInd w:val="0"/>
      <w:snapToGrid w:val="0"/>
      <w:ind w:left="1890" w:leftChars="229" w:hanging="1409" w:hangingChars="587"/>
    </w:pPr>
    <w:rPr>
      <w:sz w:val="24"/>
    </w:rPr>
  </w:style>
  <w:style w:type="paragraph" w:styleId="30">
    <w:name w:val="footer"/>
    <w:basedOn w:val="1"/>
    <w:link w:val="75"/>
    <w:qFormat/>
    <w:uiPriority w:val="99"/>
    <w:pPr>
      <w:tabs>
        <w:tab w:val="center" w:pos="4153"/>
        <w:tab w:val="right" w:pos="8306"/>
      </w:tabs>
      <w:snapToGrid w:val="0"/>
      <w:jc w:val="left"/>
    </w:pPr>
    <w:rPr>
      <w:sz w:val="18"/>
    </w:rPr>
  </w:style>
  <w:style w:type="paragraph" w:styleId="31">
    <w:name w:val="header"/>
    <w:basedOn w:val="1"/>
    <w:qFormat/>
    <w:uiPriority w:val="0"/>
    <w:pPr>
      <w:pBdr>
        <w:bottom w:val="single" w:color="auto" w:sz="6" w:space="1"/>
      </w:pBdr>
      <w:tabs>
        <w:tab w:val="center" w:pos="4153"/>
        <w:tab w:val="right" w:pos="8306"/>
      </w:tabs>
      <w:snapToGrid w:val="0"/>
      <w:jc w:val="center"/>
    </w:pPr>
    <w:rPr>
      <w:sz w:val="18"/>
    </w:rPr>
  </w:style>
  <w:style w:type="paragraph" w:styleId="32">
    <w:name w:val="Signature"/>
    <w:basedOn w:val="1"/>
    <w:qFormat/>
    <w:uiPriority w:val="0"/>
    <w:pPr>
      <w:adjustRightInd w:val="0"/>
      <w:spacing w:after="600" w:line="312" w:lineRule="atLeast"/>
      <w:jc w:val="center"/>
      <w:textAlignment w:val="baseline"/>
    </w:pPr>
    <w:rPr>
      <w:rFonts w:eastAsia="仿宋_GB2312"/>
      <w:kern w:val="0"/>
      <w:sz w:val="24"/>
    </w:rPr>
  </w:style>
  <w:style w:type="paragraph" w:styleId="33">
    <w:name w:val="toc 1"/>
    <w:basedOn w:val="1"/>
    <w:next w:val="1"/>
    <w:semiHidden/>
    <w:qFormat/>
    <w:uiPriority w:val="0"/>
    <w:pPr>
      <w:tabs>
        <w:tab w:val="right" w:leader="dot" w:pos="9450"/>
      </w:tabs>
      <w:spacing w:before="100" w:beforeAutospacing="1" w:after="100" w:afterAutospacing="1" w:line="480" w:lineRule="exact"/>
      <w:ind w:left="210" w:leftChars="100"/>
    </w:pPr>
    <w:rPr>
      <w:rFonts w:eastAsia="楷体_GB2312"/>
      <w:b/>
      <w:bCs/>
      <w:caps/>
      <w:sz w:val="32"/>
      <w:szCs w:val="36"/>
    </w:rPr>
  </w:style>
  <w:style w:type="paragraph" w:styleId="34">
    <w:name w:val="toc 4"/>
    <w:basedOn w:val="1"/>
    <w:next w:val="1"/>
    <w:semiHidden/>
    <w:qFormat/>
    <w:uiPriority w:val="0"/>
    <w:pPr>
      <w:ind w:left="630"/>
      <w:jc w:val="left"/>
    </w:pPr>
    <w:rPr>
      <w:szCs w:val="21"/>
    </w:rPr>
  </w:style>
  <w:style w:type="paragraph" w:styleId="35">
    <w:name w:val="index heading"/>
    <w:basedOn w:val="1"/>
    <w:next w:val="36"/>
    <w:semiHidden/>
    <w:qFormat/>
    <w:uiPriority w:val="0"/>
  </w:style>
  <w:style w:type="paragraph" w:styleId="36">
    <w:name w:val="index 1"/>
    <w:basedOn w:val="1"/>
    <w:next w:val="1"/>
    <w:semiHidden/>
    <w:qFormat/>
    <w:uiPriority w:val="0"/>
  </w:style>
  <w:style w:type="paragraph" w:styleId="37">
    <w:name w:val="Subtitle"/>
    <w:qFormat/>
    <w:uiPriority w:val="0"/>
    <w:pPr>
      <w:widowControl w:val="0"/>
      <w:spacing w:before="120" w:beforeLines="0" w:beforeAutospacing="0" w:after="240" w:afterLines="0" w:afterAutospacing="0" w:line="360" w:lineRule="auto"/>
      <w:jc w:val="center"/>
      <w:outlineLvl w:val="9"/>
    </w:pPr>
    <w:rPr>
      <w:rFonts w:ascii="Times New Roman" w:hAnsi="Times New Roman" w:eastAsia="宋体" w:cs="Times New Roman"/>
      <w:b/>
      <w:kern w:val="28"/>
      <w:sz w:val="24"/>
      <w:szCs w:val="32"/>
    </w:rPr>
  </w:style>
  <w:style w:type="paragraph" w:styleId="38">
    <w:name w:val="toc 6"/>
    <w:basedOn w:val="1"/>
    <w:next w:val="1"/>
    <w:semiHidden/>
    <w:qFormat/>
    <w:uiPriority w:val="0"/>
    <w:pPr>
      <w:ind w:left="1050"/>
      <w:jc w:val="left"/>
    </w:pPr>
    <w:rPr>
      <w:szCs w:val="21"/>
    </w:rPr>
  </w:style>
  <w:style w:type="paragraph" w:styleId="39">
    <w:name w:val="Body Text Indent 3"/>
    <w:basedOn w:val="1"/>
    <w:qFormat/>
    <w:uiPriority w:val="0"/>
    <w:pPr>
      <w:ind w:firstLine="555"/>
    </w:pPr>
    <w:rPr>
      <w:b/>
      <w:bCs/>
      <w:sz w:val="28"/>
      <w:u w:val="single"/>
    </w:rPr>
  </w:style>
  <w:style w:type="paragraph" w:styleId="40">
    <w:name w:val="index 7"/>
    <w:basedOn w:val="1"/>
    <w:next w:val="1"/>
    <w:semiHidden/>
    <w:qFormat/>
    <w:uiPriority w:val="0"/>
    <w:pPr>
      <w:ind w:left="1200" w:leftChars="1200"/>
    </w:pPr>
  </w:style>
  <w:style w:type="paragraph" w:styleId="41">
    <w:name w:val="index 9"/>
    <w:basedOn w:val="1"/>
    <w:next w:val="1"/>
    <w:semiHidden/>
    <w:qFormat/>
    <w:uiPriority w:val="0"/>
    <w:pPr>
      <w:ind w:left="1600" w:leftChars="1600"/>
    </w:pPr>
  </w:style>
  <w:style w:type="paragraph" w:styleId="42">
    <w:name w:val="table of figures"/>
    <w:basedOn w:val="1"/>
    <w:next w:val="1"/>
    <w:semiHidden/>
    <w:qFormat/>
    <w:uiPriority w:val="0"/>
    <w:pPr>
      <w:ind w:left="840" w:leftChars="200" w:hanging="420" w:hangingChars="200"/>
    </w:pPr>
  </w:style>
  <w:style w:type="paragraph" w:styleId="43">
    <w:name w:val="toc 2"/>
    <w:basedOn w:val="1"/>
    <w:next w:val="1"/>
    <w:semiHidden/>
    <w:qFormat/>
    <w:uiPriority w:val="0"/>
    <w:pPr>
      <w:tabs>
        <w:tab w:val="right" w:leader="dot" w:pos="9450"/>
      </w:tabs>
      <w:spacing w:line="400" w:lineRule="exact"/>
      <w:ind w:left="525" w:leftChars="250"/>
      <w:jc w:val="left"/>
    </w:pPr>
    <w:rPr>
      <w:rFonts w:eastAsia="楷体_GB2312"/>
      <w:bCs/>
      <w:smallCaps/>
      <w:sz w:val="30"/>
      <w:szCs w:val="24"/>
    </w:rPr>
  </w:style>
  <w:style w:type="paragraph" w:styleId="44">
    <w:name w:val="toc 9"/>
    <w:basedOn w:val="1"/>
    <w:next w:val="1"/>
    <w:semiHidden/>
    <w:qFormat/>
    <w:uiPriority w:val="0"/>
    <w:pPr>
      <w:ind w:left="1680"/>
      <w:jc w:val="left"/>
    </w:pPr>
    <w:rPr>
      <w:szCs w:val="21"/>
    </w:rPr>
  </w:style>
  <w:style w:type="paragraph" w:styleId="45">
    <w:name w:val="Normal (Web)"/>
    <w:basedOn w:val="1"/>
    <w:qFormat/>
    <w:uiPriority w:val="0"/>
    <w:rPr>
      <w:sz w:val="24"/>
    </w:rPr>
  </w:style>
  <w:style w:type="paragraph" w:styleId="46">
    <w:name w:val="index 2"/>
    <w:basedOn w:val="1"/>
    <w:next w:val="1"/>
    <w:semiHidden/>
    <w:qFormat/>
    <w:uiPriority w:val="0"/>
    <w:pPr>
      <w:ind w:left="200" w:leftChars="200"/>
    </w:pPr>
  </w:style>
  <w:style w:type="paragraph" w:styleId="47">
    <w:name w:val="Title"/>
    <w:next w:val="1"/>
    <w:qFormat/>
    <w:uiPriority w:val="0"/>
    <w:pPr>
      <w:spacing w:beforeAutospacing="0" w:afterAutospacing="0" w:line="360" w:lineRule="auto"/>
      <w:jc w:val="center"/>
      <w:outlineLvl w:val="9"/>
    </w:pPr>
    <w:rPr>
      <w:rFonts w:ascii="方正小标宋简体" w:hAnsi="方正小标宋简体" w:eastAsia="方正小标宋简体" w:cs="Times New Roman"/>
      <w:sz w:val="44"/>
      <w:szCs w:val="44"/>
    </w:rPr>
  </w:style>
  <w:style w:type="table" w:styleId="49">
    <w:name w:val="Table Grid"/>
    <w:basedOn w:val="4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
    <w:name w:val=" Char Char1 Char Char Char Char Char Char Char Char"/>
    <w:basedOn w:val="1"/>
    <w:link w:val="50"/>
    <w:qFormat/>
    <w:uiPriority w:val="0"/>
    <w:pPr>
      <w:widowControl/>
      <w:spacing w:after="160" w:line="240" w:lineRule="exact"/>
      <w:jc w:val="left"/>
    </w:pPr>
    <w:rPr>
      <w:rFonts w:ascii="Verdana" w:hAnsi="Verdana"/>
      <w:kern w:val="0"/>
      <w:sz w:val="20"/>
      <w:lang w:eastAsia="en-US"/>
    </w:rPr>
  </w:style>
  <w:style w:type="character" w:styleId="52">
    <w:name w:val="Strong"/>
    <w:basedOn w:val="50"/>
    <w:qFormat/>
    <w:uiPriority w:val="0"/>
    <w:rPr>
      <w:b/>
    </w:rPr>
  </w:style>
  <w:style w:type="character" w:styleId="53">
    <w:name w:val="page number"/>
    <w:basedOn w:val="50"/>
    <w:qFormat/>
    <w:uiPriority w:val="0"/>
  </w:style>
  <w:style w:type="character" w:styleId="54">
    <w:name w:val="Emphasis"/>
    <w:basedOn w:val="50"/>
    <w:qFormat/>
    <w:uiPriority w:val="20"/>
    <w:rPr>
      <w:i/>
      <w:iCs/>
    </w:rPr>
  </w:style>
  <w:style w:type="character" w:styleId="55">
    <w:name w:val="Hyperlink"/>
    <w:qFormat/>
    <w:uiPriority w:val="0"/>
    <w:rPr>
      <w:color w:val="0000FF"/>
      <w:u w:val="single"/>
    </w:rPr>
  </w:style>
  <w:style w:type="character" w:customStyle="1" w:styleId="56">
    <w:name w:val="font11"/>
    <w:basedOn w:val="50"/>
    <w:qFormat/>
    <w:uiPriority w:val="0"/>
    <w:rPr>
      <w:rFonts w:hint="eastAsia" w:ascii="宋体" w:hAnsi="宋体" w:eastAsia="宋体" w:cs="宋体"/>
      <w:color w:val="000000"/>
      <w:sz w:val="22"/>
      <w:szCs w:val="22"/>
      <w:u w:val="none"/>
    </w:rPr>
  </w:style>
  <w:style w:type="character" w:customStyle="1" w:styleId="57">
    <w:name w:val="font51"/>
    <w:basedOn w:val="50"/>
    <w:qFormat/>
    <w:uiPriority w:val="0"/>
    <w:rPr>
      <w:rFonts w:hint="eastAsia" w:ascii="宋体" w:hAnsi="宋体" w:eastAsia="宋体" w:cs="宋体"/>
      <w:color w:val="FF0000"/>
      <w:sz w:val="24"/>
      <w:szCs w:val="24"/>
      <w:u w:val="none"/>
    </w:rPr>
  </w:style>
  <w:style w:type="table" w:customStyle="1" w:styleId="58">
    <w:name w:val="网格型1"/>
    <w:basedOn w:val="48"/>
    <w:qFormat/>
    <w:uiPriority w:val="59"/>
    <w:rPr>
      <w:rFonts w:ascii="Calibri" w:hAnsi="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9">
    <w:name w:val="NormalCharacter"/>
    <w:qFormat/>
    <w:uiPriority w:val="0"/>
  </w:style>
  <w:style w:type="paragraph" w:customStyle="1" w:styleId="60">
    <w:name w:val="章前标题"/>
    <w:next w:val="1"/>
    <w:qFormat/>
    <w:uiPriority w:val="0"/>
    <w:pPr>
      <w:keepNext w:val="0"/>
      <w:keepLines w:val="0"/>
      <w:pageBreakBefore w:val="0"/>
      <w:widowControl w:val="0"/>
      <w:kinsoku/>
      <w:wordWrap/>
      <w:overflowPunct/>
      <w:topLinePunct w:val="0"/>
      <w:autoSpaceDE/>
      <w:autoSpaceDN/>
      <w:bidi w:val="0"/>
      <w:adjustRightInd/>
      <w:spacing w:before="240" w:beforeLines="0" w:after="240" w:line="360" w:lineRule="auto"/>
      <w:jc w:val="center"/>
      <w:textAlignment w:val="auto"/>
      <w:outlineLvl w:val="9"/>
    </w:pPr>
    <w:rPr>
      <w:rFonts w:ascii="黑体" w:hAnsi="黑体" w:eastAsia="黑体" w:cs="黑体"/>
      <w:kern w:val="44"/>
      <w:sz w:val="30"/>
      <w:szCs w:val="36"/>
    </w:rPr>
  </w:style>
  <w:style w:type="paragraph" w:customStyle="1" w:styleId="61">
    <w:name w:val="样式1"/>
    <w:basedOn w:val="1"/>
    <w:qFormat/>
    <w:uiPriority w:val="0"/>
    <w:pPr>
      <w:numPr>
        <w:ilvl w:val="0"/>
        <w:numId w:val="2"/>
      </w:numPr>
      <w:adjustRightInd w:val="0"/>
      <w:textAlignment w:val="baseline"/>
    </w:pPr>
    <w:rPr>
      <w:rFonts w:ascii="宋体" w:hAnsi="宋体"/>
      <w:kern w:val="0"/>
      <w:szCs w:val="21"/>
    </w:rPr>
  </w:style>
  <w:style w:type="character" w:customStyle="1" w:styleId="62">
    <w:name w:val="正文文本缩进 2 Char"/>
    <w:basedOn w:val="50"/>
    <w:link w:val="29"/>
    <w:qFormat/>
    <w:uiPriority w:val="0"/>
    <w:rPr>
      <w:kern w:val="2"/>
      <w:sz w:val="24"/>
    </w:rPr>
  </w:style>
  <w:style w:type="character" w:customStyle="1" w:styleId="63">
    <w:name w:val="font31"/>
    <w:basedOn w:val="50"/>
    <w:qFormat/>
    <w:uiPriority w:val="0"/>
    <w:rPr>
      <w:rFonts w:hint="eastAsia" w:ascii="宋体" w:hAnsi="宋体" w:eastAsia="宋体" w:cs="宋体"/>
      <w:color w:val="FF0000"/>
      <w:sz w:val="24"/>
      <w:szCs w:val="24"/>
      <w:u w:val="none"/>
    </w:rPr>
  </w:style>
  <w:style w:type="paragraph" w:customStyle="1" w:styleId="64">
    <w:name w:val="Table Text"/>
    <w:basedOn w:val="1"/>
    <w:semiHidden/>
    <w:qFormat/>
    <w:uiPriority w:val="0"/>
    <w:rPr>
      <w:rFonts w:ascii="Arial" w:hAnsi="Arial" w:eastAsia="Arial" w:cs="Arial"/>
      <w:sz w:val="21"/>
      <w:szCs w:val="21"/>
      <w:lang w:val="en-US" w:eastAsia="en-US" w:bidi="ar-SA"/>
    </w:rPr>
  </w:style>
  <w:style w:type="paragraph" w:customStyle="1" w:styleId="65">
    <w:name w:val="Plain Text"/>
    <w:basedOn w:val="1"/>
    <w:qFormat/>
    <w:uiPriority w:val="0"/>
    <w:pPr>
      <w:adjustRightInd w:val="0"/>
      <w:textAlignment w:val="baseline"/>
    </w:pPr>
    <w:rPr>
      <w:rFonts w:ascii="宋体" w:hAnsi="Courier New" w:eastAsia="楷体_GB2312"/>
      <w:sz w:val="28"/>
    </w:rPr>
  </w:style>
  <w:style w:type="table" w:customStyle="1" w:styleId="66">
    <w:name w:val="网格型2"/>
    <w:basedOn w:val="48"/>
    <w:qFormat/>
    <w:uiPriority w:val="59"/>
    <w:rPr>
      <w:rFonts w:ascii="Calibri" w:hAnsi="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7">
    <w:name w:val=" Char Char1 Char Char Char Char Char Char Char"/>
    <w:basedOn w:val="1"/>
    <w:qFormat/>
    <w:uiPriority w:val="0"/>
    <w:rPr>
      <w:rFonts w:ascii="Tahoma" w:hAnsi="Tahoma"/>
      <w:sz w:val="24"/>
    </w:rPr>
  </w:style>
  <w:style w:type="character" w:customStyle="1" w:styleId="68">
    <w:name w:val="已访问的超链接1"/>
    <w:qFormat/>
    <w:uiPriority w:val="0"/>
    <w:rPr>
      <w:color w:val="800080"/>
      <w:u w:val="single"/>
    </w:rPr>
  </w:style>
  <w:style w:type="table" w:customStyle="1" w:styleId="69">
    <w:name w:val="Table Normal"/>
    <w:semiHidden/>
    <w:unhideWhenUsed/>
    <w:qFormat/>
    <w:uiPriority w:val="0"/>
    <w:tblPr>
      <w:tblCellMar>
        <w:top w:w="0" w:type="dxa"/>
        <w:left w:w="0" w:type="dxa"/>
        <w:bottom w:w="0" w:type="dxa"/>
        <w:right w:w="0" w:type="dxa"/>
      </w:tblCellMar>
    </w:tblPr>
  </w:style>
  <w:style w:type="paragraph" w:styleId="70">
    <w:name w:val="List Paragraph"/>
    <w:basedOn w:val="1"/>
    <w:qFormat/>
    <w:uiPriority w:val="34"/>
    <w:pPr>
      <w:ind w:firstLine="420" w:firstLineChars="200"/>
    </w:pPr>
  </w:style>
  <w:style w:type="paragraph" w:customStyle="1" w:styleId="71">
    <w:name w:val="章节标题"/>
    <w:next w:val="1"/>
    <w:qFormat/>
    <w:uiPriority w:val="0"/>
    <w:pPr>
      <w:pageBreakBefore w:val="0"/>
      <w:widowControl w:val="0"/>
      <w:spacing w:before="240" w:beforeLines="0" w:after="240" w:line="360" w:lineRule="auto"/>
      <w:jc w:val="center"/>
      <w:outlineLvl w:val="0"/>
    </w:pPr>
    <w:rPr>
      <w:rFonts w:ascii="Times New Roman" w:hAnsi="Times New Roman" w:eastAsia="黑体" w:cs="Times New Roman"/>
      <w:kern w:val="44"/>
      <w:sz w:val="30"/>
      <w:szCs w:val="36"/>
    </w:rPr>
  </w:style>
  <w:style w:type="paragraph" w:customStyle="1" w:styleId="72">
    <w:name w:val="Default"/>
    <w:next w:val="1"/>
    <w:qFormat/>
    <w:uiPriority w:val="0"/>
    <w:pPr>
      <w:widowControl w:val="0"/>
      <w:spacing w:line="600" w:lineRule="exact"/>
    </w:pPr>
    <w:rPr>
      <w:rFonts w:hint="default" w:ascii="宋体" w:hAnsi="Times New Roman" w:eastAsia="宋体" w:cs="宋体"/>
      <w:color w:val="000000"/>
      <w:sz w:val="24"/>
      <w:szCs w:val="24"/>
      <w:lang w:val="en-US" w:eastAsia="zh-CN" w:bidi="ar-SA"/>
    </w:rPr>
  </w:style>
  <w:style w:type="paragraph" w:customStyle="1" w:styleId="73">
    <w:name w:val="内嵌文档标题1"/>
    <w:next w:val="1"/>
    <w:qFormat/>
    <w:uiPriority w:val="0"/>
    <w:pPr>
      <w:widowControl w:val="0"/>
      <w:spacing w:after="120" w:line="300" w:lineRule="auto"/>
      <w:jc w:val="center"/>
      <w:outlineLvl w:val="0"/>
    </w:pPr>
    <w:rPr>
      <w:rFonts w:ascii="Times New Roman" w:hAnsi="Times New Roman" w:eastAsia="宋体" w:cs="Times New Roman"/>
      <w:b/>
      <w:kern w:val="2"/>
      <w:sz w:val="24"/>
      <w:szCs w:val="32"/>
    </w:rPr>
  </w:style>
  <w:style w:type="paragraph" w:customStyle="1" w:styleId="74">
    <w:name w:val="PDGInstructions"/>
    <w:basedOn w:val="1"/>
    <w:qFormat/>
    <w:uiPriority w:val="0"/>
    <w:pPr>
      <w:widowControl/>
      <w:spacing w:before="60" w:after="60"/>
      <w:ind w:right="360"/>
      <w:jc w:val="left"/>
    </w:pPr>
    <w:rPr>
      <w:rFonts w:ascii="Garamond" w:hAnsi="Garamond"/>
      <w:color w:val="FF0000"/>
      <w:kern w:val="0"/>
      <w:sz w:val="24"/>
      <w:lang w:eastAsia="en-US"/>
    </w:rPr>
  </w:style>
  <w:style w:type="character" w:customStyle="1" w:styleId="75">
    <w:name w:val="页脚 Char"/>
    <w:basedOn w:val="50"/>
    <w:link w:val="30"/>
    <w:qFormat/>
    <w:uiPriority w:val="99"/>
    <w:rPr>
      <w:kern w:val="2"/>
      <w:sz w:val="18"/>
    </w:rPr>
  </w:style>
  <w:style w:type="character" w:customStyle="1" w:styleId="76">
    <w:name w:val="font01"/>
    <w:basedOn w:val="50"/>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2748</Words>
  <Characters>2849</Characters>
  <TotalTime>0</TotalTime>
  <ScaleCrop>false</ScaleCrop>
  <LinksUpToDate>false</LinksUpToDate>
  <CharactersWithSpaces>2899</CharactersWithSpaces>
  <Application>WPS Office_12.1.0.19770_F1E327BC-269C-435d-A152-05C5408002CA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2026-10-30T10:47:00Z</dcterms:created>
  <dc:creator>hp</dc:creator>
  <cp:lastModifiedBy>WPS_1775547510</cp:lastModifiedBy>
  <dcterms:modified xsi:type="dcterms:W3CDTF">2026-11-03T10:01:14Z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28070575ED18438DB807BDAE4455A46C_12</vt:lpwstr>
  </property>
  <property fmtid="{D5CDD505-2E9C-101B-9397-08002B2CF9AE}" pid="4" name="KSOTemplateDocerSaveRecord">
    <vt:lpwstr>eyJoZGlkIjoiZWUwMDM0ZGY5ODViNjFhNDQyNDJjODM2OWRmZGNhYmUiLCJ1c2VySWQiOiIxODE4ODM2NzY0In0=</vt:lpwstr>
  </property>
</Properties>
</file>